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BDC2B" w14:textId="243C4A26" w:rsidR="0043463E" w:rsidRPr="0043463E" w:rsidRDefault="0043463E" w:rsidP="0043463E">
      <w:pPr>
        <w:tabs>
          <w:tab w:val="num" w:pos="0"/>
        </w:tabs>
        <w:spacing w:after="0" w:line="276" w:lineRule="auto"/>
        <w:jc w:val="center"/>
        <w:textAlignment w:val="baseline"/>
        <w:rPr>
          <w:rFonts w:ascii="Arial" w:hAnsi="Arial" w:cs="Arial"/>
          <w:b/>
          <w:bCs/>
          <w:sz w:val="24"/>
          <w:szCs w:val="24"/>
        </w:rPr>
      </w:pPr>
      <w:r w:rsidRPr="0043463E">
        <w:rPr>
          <w:rFonts w:ascii="Arial" w:hAnsi="Arial" w:cs="Arial"/>
          <w:b/>
          <w:bCs/>
          <w:sz w:val="24"/>
          <w:szCs w:val="24"/>
        </w:rPr>
        <w:t xml:space="preserve">Schedule 1 </w:t>
      </w:r>
    </w:p>
    <w:p w14:paraId="37F549AE" w14:textId="392DD699" w:rsidR="0043463E" w:rsidRPr="0043463E" w:rsidRDefault="0043463E" w:rsidP="0043463E">
      <w:pPr>
        <w:tabs>
          <w:tab w:val="num" w:pos="0"/>
        </w:tabs>
        <w:spacing w:after="0" w:line="276" w:lineRule="auto"/>
        <w:jc w:val="center"/>
        <w:textAlignment w:val="baseline"/>
        <w:rPr>
          <w:rFonts w:ascii="Arial" w:hAnsi="Arial" w:cs="Arial"/>
          <w:b/>
          <w:bCs/>
          <w:sz w:val="24"/>
          <w:szCs w:val="24"/>
        </w:rPr>
      </w:pPr>
      <w:r w:rsidRPr="0043463E">
        <w:rPr>
          <w:rFonts w:ascii="Arial" w:hAnsi="Arial" w:cs="Arial"/>
          <w:b/>
          <w:bCs/>
          <w:sz w:val="24"/>
          <w:szCs w:val="24"/>
        </w:rPr>
        <w:t>The Authority’s Specification</w:t>
      </w:r>
    </w:p>
    <w:p w14:paraId="693232FC" w14:textId="77777777" w:rsidR="0043463E" w:rsidRDefault="0043463E" w:rsidP="0043463E">
      <w:pPr>
        <w:tabs>
          <w:tab w:val="num" w:pos="0"/>
        </w:tabs>
        <w:spacing w:after="0" w:line="276" w:lineRule="auto"/>
        <w:textAlignment w:val="baseline"/>
      </w:pPr>
    </w:p>
    <w:p w14:paraId="689ED2CF" w14:textId="28CDAE7B" w:rsidR="0043463E" w:rsidRDefault="0043463E" w:rsidP="0043463E">
      <w:pPr>
        <w:pStyle w:val="paragraph"/>
        <w:numPr>
          <w:ilvl w:val="0"/>
          <w:numId w:val="1"/>
        </w:numPr>
        <w:spacing w:before="0" w:beforeAutospacing="0" w:after="0" w:afterAutospacing="0" w:line="276" w:lineRule="auto"/>
        <w:ind w:firstLine="0"/>
        <w:jc w:val="both"/>
        <w:textAlignment w:val="baseline"/>
        <w:rPr>
          <w:rStyle w:val="eop"/>
          <w:rFonts w:ascii="Arial" w:hAnsi="Arial" w:cs="Arial"/>
          <w:b/>
          <w:bCs/>
        </w:rPr>
      </w:pPr>
      <w:r>
        <w:rPr>
          <w:rStyle w:val="normaltextrun"/>
          <w:rFonts w:ascii="Arial" w:hAnsi="Arial" w:cs="Arial"/>
          <w:b/>
          <w:bCs/>
        </w:rPr>
        <w:t>Introduction and summary of requirements</w:t>
      </w:r>
      <w:r>
        <w:rPr>
          <w:rStyle w:val="eop"/>
          <w:rFonts w:ascii="Arial" w:hAnsi="Arial" w:cs="Arial"/>
          <w:b/>
          <w:bCs/>
        </w:rPr>
        <w:t> </w:t>
      </w:r>
    </w:p>
    <w:p w14:paraId="75AB6EEF" w14:textId="77777777" w:rsidR="0043463E" w:rsidRDefault="0043463E" w:rsidP="0043463E">
      <w:pPr>
        <w:pStyle w:val="paragraph"/>
        <w:spacing w:before="0" w:beforeAutospacing="0" w:after="0" w:afterAutospacing="0" w:line="276" w:lineRule="auto"/>
        <w:jc w:val="both"/>
        <w:textAlignment w:val="baseline"/>
        <w:rPr>
          <w:rFonts w:ascii="Arial" w:hAnsi="Arial" w:cs="Arial"/>
          <w:b/>
          <w:bCs/>
        </w:rPr>
      </w:pPr>
    </w:p>
    <w:p w14:paraId="300A3999" w14:textId="59933B3C" w:rsidR="0043463E" w:rsidRDefault="0043463E" w:rsidP="0043463E">
      <w:pPr>
        <w:pStyle w:val="paragraph"/>
        <w:spacing w:before="0" w:beforeAutospacing="0" w:after="0" w:afterAutospacing="0" w:line="276" w:lineRule="auto"/>
        <w:jc w:val="both"/>
        <w:textAlignment w:val="baseline"/>
        <w:rPr>
          <w:rStyle w:val="eop"/>
          <w:rFonts w:ascii="Arial" w:hAnsi="Arial" w:cs="Arial"/>
        </w:rPr>
      </w:pPr>
      <w:r>
        <w:rPr>
          <w:rStyle w:val="normaltextrun"/>
          <w:rFonts w:ascii="Arial" w:hAnsi="Arial" w:cs="Arial"/>
        </w:rPr>
        <w:t>The project, </w:t>
      </w:r>
      <w:r>
        <w:rPr>
          <w:rStyle w:val="normaltextrun"/>
          <w:rFonts w:ascii="Arial" w:hAnsi="Arial" w:cs="Arial"/>
          <w:i/>
          <w:iCs/>
        </w:rPr>
        <w:t>Unlocking Data to Inform Secure Investment</w:t>
      </w:r>
      <w:r>
        <w:rPr>
          <w:rStyle w:val="normaltextrun"/>
          <w:rFonts w:ascii="Arial" w:hAnsi="Arial" w:cs="Arial"/>
        </w:rPr>
        <w:t>, will enhance the Department’s analytical capability for identifying and examining foreign direct investment that presents national security concerns for the UK. The following sections set out the requirements for the provision of commercial data to support the project.</w:t>
      </w:r>
      <w:r>
        <w:rPr>
          <w:rStyle w:val="eop"/>
          <w:rFonts w:ascii="Arial" w:hAnsi="Arial" w:cs="Arial"/>
        </w:rPr>
        <w:t> </w:t>
      </w:r>
    </w:p>
    <w:p w14:paraId="00545F24" w14:textId="77777777" w:rsidR="0043463E" w:rsidRDefault="0043463E" w:rsidP="0043463E">
      <w:pPr>
        <w:pStyle w:val="paragraph"/>
        <w:spacing w:before="0" w:beforeAutospacing="0" w:after="0" w:afterAutospacing="0" w:line="276" w:lineRule="auto"/>
        <w:jc w:val="both"/>
        <w:textAlignment w:val="baseline"/>
        <w:rPr>
          <w:rFonts w:ascii="Arial" w:hAnsi="Arial" w:cs="Arial"/>
        </w:rPr>
      </w:pPr>
    </w:p>
    <w:p w14:paraId="135079BA" w14:textId="4CCBC740" w:rsidR="0043463E" w:rsidRDefault="0043463E" w:rsidP="0043463E">
      <w:pPr>
        <w:pStyle w:val="paragraph"/>
        <w:numPr>
          <w:ilvl w:val="0"/>
          <w:numId w:val="2"/>
        </w:numPr>
        <w:spacing w:before="0" w:beforeAutospacing="0" w:after="0" w:afterAutospacing="0" w:line="276" w:lineRule="auto"/>
        <w:ind w:firstLine="0"/>
        <w:jc w:val="both"/>
        <w:textAlignment w:val="baseline"/>
        <w:rPr>
          <w:rStyle w:val="eop"/>
          <w:rFonts w:ascii="Arial" w:hAnsi="Arial" w:cs="Arial"/>
          <w:b/>
          <w:bCs/>
        </w:rPr>
      </w:pPr>
      <w:r>
        <w:rPr>
          <w:rStyle w:val="normaltextrun"/>
          <w:rFonts w:ascii="Arial" w:hAnsi="Arial" w:cs="Arial"/>
          <w:b/>
          <w:bCs/>
        </w:rPr>
        <w:t>Background</w:t>
      </w:r>
      <w:r>
        <w:rPr>
          <w:rStyle w:val="eop"/>
          <w:rFonts w:ascii="Arial" w:hAnsi="Arial" w:cs="Arial"/>
          <w:b/>
          <w:bCs/>
        </w:rPr>
        <w:t> </w:t>
      </w:r>
    </w:p>
    <w:p w14:paraId="40A7C8FA" w14:textId="77777777" w:rsidR="0043463E" w:rsidRDefault="0043463E" w:rsidP="0043463E">
      <w:pPr>
        <w:pStyle w:val="paragraph"/>
        <w:spacing w:before="0" w:beforeAutospacing="0" w:after="0" w:afterAutospacing="0" w:line="276" w:lineRule="auto"/>
        <w:jc w:val="both"/>
        <w:textAlignment w:val="baseline"/>
        <w:rPr>
          <w:rFonts w:ascii="Arial" w:hAnsi="Arial" w:cs="Arial"/>
          <w:b/>
          <w:bCs/>
        </w:rPr>
      </w:pPr>
    </w:p>
    <w:p w14:paraId="115A9191" w14:textId="4462EA3D" w:rsidR="0043463E" w:rsidRDefault="0043463E" w:rsidP="0043463E">
      <w:pPr>
        <w:pStyle w:val="paragraph"/>
        <w:spacing w:before="0" w:beforeAutospacing="0" w:after="0" w:afterAutospacing="0" w:line="276" w:lineRule="auto"/>
        <w:jc w:val="both"/>
        <w:textAlignment w:val="baseline"/>
        <w:rPr>
          <w:rStyle w:val="eop"/>
          <w:rFonts w:ascii="Arial" w:hAnsi="Arial" w:cs="Arial"/>
        </w:rPr>
      </w:pPr>
      <w:r>
        <w:rPr>
          <w:rStyle w:val="normaltextrun"/>
          <w:rFonts w:ascii="Arial" w:hAnsi="Arial" w:cs="Arial"/>
        </w:rPr>
        <w:t>The UK is a world-leading destination for foreign investment. The government is committed to maintaining this while at the same time ensuring that it protects the UK’s national security. The National Security &amp; Investment Act 2021 (‘the Act’) will come into force on 4 January 2022 and enhance the government’s existing capabilities for examining and intervening to stop certain acquisitions that could harm the UK’s national security. The government will be able to impose certain conditions on an acquisition and, in rare instances, unwind or block an acquisition completely. The Act is administered by the Investment Security Unit (ISU) within the Department.</w:t>
      </w:r>
      <w:r>
        <w:rPr>
          <w:rStyle w:val="eop"/>
          <w:rFonts w:ascii="Arial" w:hAnsi="Arial" w:cs="Arial"/>
        </w:rPr>
        <w:t> </w:t>
      </w:r>
    </w:p>
    <w:p w14:paraId="21C0F3B7" w14:textId="77777777" w:rsidR="0043463E" w:rsidRDefault="0043463E" w:rsidP="0043463E">
      <w:pPr>
        <w:pStyle w:val="paragraph"/>
        <w:spacing w:before="0" w:beforeAutospacing="0" w:after="0" w:afterAutospacing="0" w:line="276" w:lineRule="auto"/>
        <w:jc w:val="both"/>
        <w:textAlignment w:val="baseline"/>
        <w:rPr>
          <w:rFonts w:ascii="Arial" w:hAnsi="Arial" w:cs="Arial"/>
        </w:rPr>
      </w:pPr>
    </w:p>
    <w:p w14:paraId="5A8F159B" w14:textId="025266E3" w:rsidR="0043463E" w:rsidRDefault="0043463E" w:rsidP="0043463E">
      <w:pPr>
        <w:pStyle w:val="paragraph"/>
        <w:spacing w:before="0" w:beforeAutospacing="0" w:after="0" w:afterAutospacing="0" w:line="276" w:lineRule="auto"/>
        <w:jc w:val="both"/>
        <w:textAlignment w:val="baseline"/>
        <w:rPr>
          <w:rStyle w:val="eop"/>
          <w:rFonts w:ascii="Arial" w:hAnsi="Arial" w:cs="Arial"/>
        </w:rPr>
      </w:pPr>
      <w:r>
        <w:rPr>
          <w:rStyle w:val="normaltextrun"/>
          <w:rFonts w:ascii="Arial" w:hAnsi="Arial" w:cs="Arial"/>
        </w:rPr>
        <w:t>The Act applies to acquisitions of certain entities and assets (known as ‘qualifying entities’ and ‘qualifying assets’). Parties to acquisitions of qualifying entities in 17 defined sensitive areas of the economy may be legally required to notify the government about the acquisition so that the government can assess any potential national security harms created by the transaction</w:t>
      </w:r>
      <w:r>
        <w:rPr>
          <w:rStyle w:val="superscript"/>
          <w:rFonts w:ascii="Arial" w:hAnsi="Arial" w:cs="Arial"/>
          <w:sz w:val="19"/>
          <w:szCs w:val="19"/>
          <w:vertAlign w:val="superscript"/>
        </w:rPr>
        <w:t>1</w:t>
      </w:r>
      <w:r>
        <w:rPr>
          <w:rStyle w:val="normaltextrun"/>
          <w:rFonts w:ascii="Arial" w:hAnsi="Arial" w:cs="Arial"/>
        </w:rPr>
        <w:t>.</w:t>
      </w:r>
      <w:r>
        <w:rPr>
          <w:rStyle w:val="eop"/>
          <w:rFonts w:ascii="Arial" w:hAnsi="Arial" w:cs="Arial"/>
        </w:rPr>
        <w:t> </w:t>
      </w:r>
    </w:p>
    <w:p w14:paraId="2E41B6CE" w14:textId="77777777" w:rsidR="0043463E" w:rsidRDefault="0043463E" w:rsidP="0043463E">
      <w:pPr>
        <w:pStyle w:val="paragraph"/>
        <w:spacing w:before="0" w:beforeAutospacing="0" w:after="0" w:afterAutospacing="0" w:line="276" w:lineRule="auto"/>
        <w:jc w:val="both"/>
        <w:textAlignment w:val="baseline"/>
        <w:rPr>
          <w:rFonts w:ascii="Arial" w:hAnsi="Arial" w:cs="Arial"/>
        </w:rPr>
      </w:pPr>
    </w:p>
    <w:p w14:paraId="3E3CC269" w14:textId="77777777" w:rsidR="0043463E" w:rsidRDefault="0043463E" w:rsidP="0043463E">
      <w:pPr>
        <w:pStyle w:val="paragraph"/>
        <w:spacing w:before="0" w:beforeAutospacing="0" w:after="0" w:afterAutospacing="0" w:line="276" w:lineRule="auto"/>
        <w:jc w:val="both"/>
        <w:textAlignment w:val="baseline"/>
        <w:rPr>
          <w:rFonts w:ascii="Arial" w:hAnsi="Arial" w:cs="Arial"/>
        </w:rPr>
      </w:pPr>
      <w:r>
        <w:rPr>
          <w:rStyle w:val="normaltextrun"/>
          <w:rFonts w:ascii="Arial" w:hAnsi="Arial" w:cs="Arial"/>
        </w:rPr>
        <w:t>Acquisitions of assets and acquisitions of qualifying entities outside these 17 sectors do not need to be notified to the government. </w:t>
      </w:r>
      <w:r>
        <w:rPr>
          <w:rStyle w:val="eop"/>
          <w:rFonts w:ascii="Arial" w:hAnsi="Arial" w:cs="Arial"/>
        </w:rPr>
        <w:t> </w:t>
      </w:r>
    </w:p>
    <w:p w14:paraId="1065B1D1" w14:textId="77777777" w:rsidR="0043463E" w:rsidRDefault="0043463E" w:rsidP="0043463E">
      <w:pPr>
        <w:pStyle w:val="paragraph"/>
        <w:spacing w:before="0" w:beforeAutospacing="0" w:after="0" w:afterAutospacing="0" w:line="276" w:lineRule="auto"/>
        <w:jc w:val="both"/>
        <w:textAlignment w:val="baseline"/>
        <w:rPr>
          <w:rStyle w:val="normaltextrun"/>
          <w:rFonts w:ascii="Arial" w:hAnsi="Arial" w:cs="Arial"/>
        </w:rPr>
      </w:pPr>
      <w:r>
        <w:rPr>
          <w:rStyle w:val="normaltextrun"/>
          <w:rFonts w:ascii="Arial" w:hAnsi="Arial" w:cs="Arial"/>
        </w:rPr>
        <w:t>More information about the Act can be found at: </w:t>
      </w:r>
    </w:p>
    <w:p w14:paraId="3BFB0D96" w14:textId="28FE0626" w:rsidR="0043463E" w:rsidRDefault="0043463E" w:rsidP="0043463E">
      <w:pPr>
        <w:pStyle w:val="paragraph"/>
        <w:spacing w:before="0" w:beforeAutospacing="0" w:after="0" w:afterAutospacing="0" w:line="276" w:lineRule="auto"/>
        <w:jc w:val="both"/>
        <w:textAlignment w:val="baseline"/>
        <w:rPr>
          <w:rStyle w:val="eop"/>
          <w:rFonts w:ascii="Arial" w:hAnsi="Arial" w:cs="Arial"/>
        </w:rPr>
      </w:pPr>
      <w:hyperlink r:id="rId7" w:history="1">
        <w:r w:rsidRPr="0066720A">
          <w:rPr>
            <w:rStyle w:val="Hyperlink"/>
            <w:rFonts w:ascii="Arial" w:hAnsi="Arial" w:cs="Arial"/>
          </w:rPr>
          <w:t>https://www.gov.uk/government/publications/national-security-and-investment-act-prepare-for-new-rules-about-acquisitions</w:t>
        </w:r>
      </w:hyperlink>
      <w:r>
        <w:rPr>
          <w:rStyle w:val="normaltextrun"/>
          <w:rFonts w:ascii="Arial" w:hAnsi="Arial" w:cs="Arial"/>
        </w:rPr>
        <w:t>.</w:t>
      </w:r>
      <w:r>
        <w:rPr>
          <w:rStyle w:val="eop"/>
          <w:rFonts w:ascii="Arial" w:hAnsi="Arial" w:cs="Arial"/>
        </w:rPr>
        <w:t> </w:t>
      </w:r>
    </w:p>
    <w:p w14:paraId="0EB49C1B" w14:textId="77777777" w:rsidR="0043463E" w:rsidRDefault="0043463E" w:rsidP="0043463E">
      <w:pPr>
        <w:pStyle w:val="paragraph"/>
        <w:spacing w:before="0" w:beforeAutospacing="0" w:after="0" w:afterAutospacing="0" w:line="276" w:lineRule="auto"/>
        <w:jc w:val="both"/>
        <w:textAlignment w:val="baseline"/>
        <w:rPr>
          <w:rFonts w:ascii="Arial" w:hAnsi="Arial" w:cs="Arial"/>
        </w:rPr>
      </w:pPr>
    </w:p>
    <w:p w14:paraId="29450C5C" w14:textId="7FD5F9C8" w:rsidR="0043463E" w:rsidRDefault="0043463E" w:rsidP="0043463E">
      <w:pPr>
        <w:pStyle w:val="paragraph"/>
        <w:numPr>
          <w:ilvl w:val="0"/>
          <w:numId w:val="3"/>
        </w:numPr>
        <w:spacing w:before="0" w:beforeAutospacing="0" w:after="0" w:afterAutospacing="0" w:line="276" w:lineRule="auto"/>
        <w:ind w:firstLine="0"/>
        <w:jc w:val="both"/>
        <w:textAlignment w:val="baseline"/>
        <w:rPr>
          <w:rStyle w:val="eop"/>
          <w:rFonts w:ascii="Arial" w:hAnsi="Arial" w:cs="Arial"/>
          <w:b/>
          <w:bCs/>
        </w:rPr>
      </w:pPr>
      <w:r>
        <w:rPr>
          <w:rStyle w:val="normaltextrun"/>
          <w:rFonts w:ascii="Arial" w:hAnsi="Arial" w:cs="Arial"/>
          <w:b/>
          <w:bCs/>
        </w:rPr>
        <w:t>Aims and objectives</w:t>
      </w:r>
      <w:r>
        <w:rPr>
          <w:rStyle w:val="eop"/>
          <w:rFonts w:ascii="Arial" w:hAnsi="Arial" w:cs="Arial"/>
          <w:b/>
          <w:bCs/>
        </w:rPr>
        <w:t> </w:t>
      </w:r>
    </w:p>
    <w:p w14:paraId="4EDC5B20" w14:textId="77777777" w:rsidR="0043463E" w:rsidRDefault="0043463E" w:rsidP="0043463E">
      <w:pPr>
        <w:pStyle w:val="paragraph"/>
        <w:spacing w:before="0" w:beforeAutospacing="0" w:after="0" w:afterAutospacing="0" w:line="276" w:lineRule="auto"/>
        <w:jc w:val="both"/>
        <w:textAlignment w:val="baseline"/>
        <w:rPr>
          <w:rFonts w:ascii="Arial" w:hAnsi="Arial" w:cs="Arial"/>
          <w:b/>
          <w:bCs/>
        </w:rPr>
      </w:pPr>
    </w:p>
    <w:p w14:paraId="58F7E93B" w14:textId="77777777" w:rsidR="0043463E" w:rsidRDefault="0043463E" w:rsidP="0043463E">
      <w:pPr>
        <w:pStyle w:val="paragraph"/>
        <w:spacing w:before="0" w:beforeAutospacing="0" w:after="0" w:afterAutospacing="0" w:line="276" w:lineRule="auto"/>
        <w:jc w:val="both"/>
        <w:textAlignment w:val="baseline"/>
        <w:rPr>
          <w:rFonts w:ascii="Arial" w:hAnsi="Arial" w:cs="Arial"/>
        </w:rPr>
      </w:pPr>
      <w:r>
        <w:rPr>
          <w:rStyle w:val="normaltextrun"/>
          <w:rFonts w:ascii="Arial" w:hAnsi="Arial" w:cs="Arial"/>
        </w:rPr>
        <w:t>The aim of </w:t>
      </w:r>
      <w:r>
        <w:rPr>
          <w:rStyle w:val="normaltextrun"/>
          <w:rFonts w:ascii="Arial" w:hAnsi="Arial" w:cs="Arial"/>
          <w:i/>
          <w:iCs/>
        </w:rPr>
        <w:t>Unlocking Data to Inform Secure Investment</w:t>
      </w:r>
      <w:r>
        <w:rPr>
          <w:rStyle w:val="normaltextrun"/>
          <w:rFonts w:ascii="Arial" w:hAnsi="Arial" w:cs="Arial"/>
        </w:rPr>
        <w:t> is to enhance the government’s existing analytical capability to identify and assess national security risks related to foreign investment coming into the UK.</w:t>
      </w:r>
      <w:r>
        <w:rPr>
          <w:rStyle w:val="eop"/>
          <w:rFonts w:ascii="Arial" w:hAnsi="Arial" w:cs="Arial"/>
        </w:rPr>
        <w:t> </w:t>
      </w:r>
    </w:p>
    <w:p w14:paraId="14C0C966" w14:textId="42FB0D25" w:rsidR="00CF2003" w:rsidRDefault="0043463E" w:rsidP="0043463E">
      <w:pPr>
        <w:pStyle w:val="paragraph"/>
        <w:spacing w:before="0" w:beforeAutospacing="0" w:after="0" w:afterAutospacing="0" w:line="276" w:lineRule="auto"/>
        <w:jc w:val="both"/>
        <w:textAlignment w:val="baseline"/>
        <w:rPr>
          <w:rFonts w:ascii="Arial" w:hAnsi="Arial" w:cs="Arial"/>
        </w:rPr>
      </w:pPr>
      <w:r>
        <w:rPr>
          <w:rStyle w:val="normaltextrun"/>
          <w:rFonts w:ascii="Arial" w:hAnsi="Arial" w:cs="Arial"/>
        </w:rPr>
        <w:t>This invitation to tender seeks commercial products to support the project’s aim. In particular, the products will:</w:t>
      </w:r>
      <w:r>
        <w:rPr>
          <w:rStyle w:val="eop"/>
          <w:rFonts w:ascii="Arial" w:hAnsi="Arial" w:cs="Arial"/>
        </w:rPr>
        <w:t> </w:t>
      </w:r>
    </w:p>
    <w:p w14:paraId="651FD39F" w14:textId="77777777" w:rsidR="0043463E" w:rsidRDefault="0043463E" w:rsidP="0043463E">
      <w:pPr>
        <w:pStyle w:val="paragraph"/>
        <w:numPr>
          <w:ilvl w:val="0"/>
          <w:numId w:val="5"/>
        </w:numPr>
        <w:spacing w:before="0" w:beforeAutospacing="0" w:after="0" w:afterAutospacing="0" w:line="276" w:lineRule="auto"/>
        <w:jc w:val="both"/>
        <w:textAlignment w:val="baseline"/>
        <w:rPr>
          <w:rFonts w:ascii="Arial" w:hAnsi="Arial" w:cs="Arial"/>
        </w:rPr>
      </w:pPr>
      <w:r>
        <w:rPr>
          <w:rStyle w:val="normaltextrun"/>
          <w:rFonts w:ascii="Arial" w:hAnsi="Arial" w:cs="Arial"/>
        </w:rPr>
        <w:t>provide access to online platforms containing detailed information about ongoing UK-inbound foreign investment, covering a range of different types of transactions and geographical regions;</w:t>
      </w:r>
      <w:r>
        <w:rPr>
          <w:rStyle w:val="eop"/>
          <w:rFonts w:ascii="Arial" w:hAnsi="Arial" w:cs="Arial"/>
        </w:rPr>
        <w:t> </w:t>
      </w:r>
    </w:p>
    <w:p w14:paraId="148DD88A" w14:textId="77777777" w:rsidR="0043463E" w:rsidRDefault="0043463E" w:rsidP="0043463E">
      <w:pPr>
        <w:pStyle w:val="paragraph"/>
        <w:spacing w:before="0" w:beforeAutospacing="0" w:after="0" w:afterAutospacing="0" w:line="276" w:lineRule="auto"/>
        <w:ind w:left="1440"/>
        <w:jc w:val="both"/>
        <w:textAlignment w:val="baseline"/>
        <w:rPr>
          <w:rStyle w:val="normaltextrun"/>
          <w:rFonts w:ascii="Arial" w:hAnsi="Arial" w:cs="Arial"/>
        </w:rPr>
      </w:pPr>
    </w:p>
    <w:p w14:paraId="1106744C" w14:textId="2AEB00E3" w:rsidR="0043463E" w:rsidRDefault="0043463E" w:rsidP="0043463E">
      <w:pPr>
        <w:pStyle w:val="paragraph"/>
        <w:numPr>
          <w:ilvl w:val="0"/>
          <w:numId w:val="5"/>
        </w:numPr>
        <w:spacing w:before="0" w:beforeAutospacing="0" w:after="0" w:afterAutospacing="0" w:line="276" w:lineRule="auto"/>
        <w:jc w:val="both"/>
        <w:textAlignment w:val="baseline"/>
        <w:rPr>
          <w:rFonts w:ascii="Arial" w:hAnsi="Arial" w:cs="Arial"/>
        </w:rPr>
      </w:pPr>
      <w:r>
        <w:rPr>
          <w:rStyle w:val="normaltextrun"/>
          <w:rFonts w:ascii="Arial" w:hAnsi="Arial" w:cs="Arial"/>
        </w:rPr>
        <w:t>provide the ability to conduct detailed due diligence on specific investments at pace; and</w:t>
      </w:r>
      <w:r>
        <w:rPr>
          <w:rStyle w:val="eop"/>
          <w:rFonts w:ascii="Arial" w:hAnsi="Arial" w:cs="Arial"/>
        </w:rPr>
        <w:t> </w:t>
      </w:r>
    </w:p>
    <w:p w14:paraId="3FA852EA" w14:textId="5ED782FD" w:rsidR="0043463E" w:rsidRDefault="0043463E" w:rsidP="0043463E">
      <w:pPr>
        <w:pStyle w:val="paragraph"/>
        <w:numPr>
          <w:ilvl w:val="0"/>
          <w:numId w:val="5"/>
        </w:numPr>
        <w:spacing w:before="0" w:beforeAutospacing="0" w:after="0" w:afterAutospacing="0" w:line="276" w:lineRule="auto"/>
        <w:jc w:val="both"/>
        <w:textAlignment w:val="baseline"/>
        <w:rPr>
          <w:rStyle w:val="eop"/>
          <w:rFonts w:ascii="Arial" w:hAnsi="Arial" w:cs="Arial"/>
        </w:rPr>
      </w:pPr>
      <w:r>
        <w:rPr>
          <w:rStyle w:val="normaltextrun"/>
          <w:rFonts w:ascii="Arial" w:hAnsi="Arial" w:cs="Arial"/>
        </w:rPr>
        <w:t>provide expert market analysis of certain sectors and/or technologies. These will likely be connected to one or more of the 17 sensitive areas of the UK’s economy.</w:t>
      </w:r>
      <w:r>
        <w:rPr>
          <w:rStyle w:val="eop"/>
          <w:rFonts w:ascii="Arial" w:hAnsi="Arial" w:cs="Arial"/>
        </w:rPr>
        <w:t> </w:t>
      </w:r>
    </w:p>
    <w:p w14:paraId="0CC91DD2" w14:textId="1A89C913" w:rsidR="00CF2003" w:rsidRDefault="00CF2003" w:rsidP="00CF2003">
      <w:pPr>
        <w:pStyle w:val="paragraph"/>
        <w:spacing w:before="0" w:beforeAutospacing="0" w:after="0" w:afterAutospacing="0" w:line="276" w:lineRule="auto"/>
        <w:jc w:val="both"/>
        <w:textAlignment w:val="baseline"/>
        <w:rPr>
          <w:rStyle w:val="eop"/>
        </w:rPr>
      </w:pPr>
    </w:p>
    <w:p w14:paraId="32F391D4" w14:textId="77777777" w:rsidR="00CF2003" w:rsidRDefault="00CF2003" w:rsidP="00CF2003">
      <w:pPr>
        <w:pStyle w:val="paragraph"/>
        <w:spacing w:before="0" w:beforeAutospacing="0" w:after="0" w:afterAutospacing="0" w:line="276" w:lineRule="auto"/>
        <w:jc w:val="both"/>
        <w:textAlignment w:val="baseline"/>
        <w:rPr>
          <w:rFonts w:ascii="Arial" w:hAnsi="Arial" w:cs="Aria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0"/>
      </w:tblGrid>
      <w:tr w:rsidR="00CF2003" w:rsidRPr="00CF2003" w14:paraId="440EAD15" w14:textId="77777777" w:rsidTr="00CF2003">
        <w:tc>
          <w:tcPr>
            <w:tcW w:w="9015" w:type="dxa"/>
            <w:tcBorders>
              <w:top w:val="single" w:sz="6" w:space="0" w:color="4F81BD"/>
              <w:left w:val="single" w:sz="6" w:space="0" w:color="4F81BD"/>
              <w:bottom w:val="single" w:sz="6" w:space="0" w:color="4F81BD"/>
              <w:right w:val="single" w:sz="6" w:space="0" w:color="4F81BD"/>
            </w:tcBorders>
            <w:shd w:val="clear" w:color="auto" w:fill="4F81BD"/>
            <w:hideMark/>
          </w:tcPr>
          <w:p w14:paraId="521328BD" w14:textId="77777777" w:rsidR="00CF2003" w:rsidRPr="00CF2003" w:rsidRDefault="00CF2003" w:rsidP="00CF2003">
            <w:pPr>
              <w:spacing w:after="0" w:line="276" w:lineRule="auto"/>
              <w:textAlignment w:val="baseline"/>
              <w:rPr>
                <w:rFonts w:ascii="Segoe UI" w:eastAsia="Times New Roman" w:hAnsi="Segoe UI" w:cs="Segoe UI"/>
                <w:b/>
                <w:bCs/>
                <w:color w:val="FFFFFF"/>
                <w:sz w:val="18"/>
                <w:szCs w:val="18"/>
                <w:lang w:eastAsia="en-GB"/>
              </w:rPr>
            </w:pPr>
            <w:r w:rsidRPr="00CF2003">
              <w:rPr>
                <w:rFonts w:ascii="Arial" w:eastAsia="Times New Roman" w:hAnsi="Arial" w:cs="Arial"/>
                <w:b/>
                <w:bCs/>
                <w:color w:val="FFFFFF"/>
                <w:sz w:val="24"/>
                <w:szCs w:val="24"/>
                <w:u w:val="single"/>
                <w:lang w:eastAsia="en-GB"/>
              </w:rPr>
              <w:t>LOT 4</w:t>
            </w:r>
            <w:r w:rsidRPr="00CF2003">
              <w:rPr>
                <w:rFonts w:ascii="Arial" w:eastAsia="Times New Roman" w:hAnsi="Arial" w:cs="Arial"/>
                <w:b/>
                <w:bCs/>
                <w:color w:val="FFFFFF"/>
                <w:sz w:val="24"/>
                <w:szCs w:val="24"/>
                <w:lang w:eastAsia="en-GB"/>
              </w:rPr>
              <w:t> </w:t>
            </w:r>
          </w:p>
        </w:tc>
      </w:tr>
      <w:tr w:rsidR="00CF2003" w:rsidRPr="00CF2003" w14:paraId="26E7D233" w14:textId="77777777" w:rsidTr="00CF2003">
        <w:tc>
          <w:tcPr>
            <w:tcW w:w="9015" w:type="dxa"/>
            <w:tcBorders>
              <w:top w:val="single" w:sz="6" w:space="0" w:color="95B3D7"/>
              <w:left w:val="single" w:sz="6" w:space="0" w:color="95B3D7"/>
              <w:bottom w:val="single" w:sz="6" w:space="0" w:color="95B3D7"/>
              <w:right w:val="single" w:sz="6" w:space="0" w:color="95B3D7"/>
            </w:tcBorders>
            <w:shd w:val="clear" w:color="auto" w:fill="DBE5F1"/>
            <w:hideMark/>
          </w:tcPr>
          <w:p w14:paraId="0212D0FB" w14:textId="77777777" w:rsidR="00CF2003" w:rsidRPr="00CF2003" w:rsidRDefault="00CF2003" w:rsidP="00CF2003">
            <w:pPr>
              <w:spacing w:after="0" w:line="276" w:lineRule="auto"/>
              <w:textAlignment w:val="baseline"/>
              <w:rPr>
                <w:rFonts w:ascii="Segoe UI" w:eastAsia="Times New Roman" w:hAnsi="Segoe UI" w:cs="Segoe UI"/>
                <w:sz w:val="18"/>
                <w:szCs w:val="18"/>
                <w:lang w:eastAsia="en-GB"/>
              </w:rPr>
            </w:pPr>
            <w:r w:rsidRPr="00CF2003">
              <w:rPr>
                <w:rFonts w:ascii="Arial" w:eastAsia="Times New Roman" w:hAnsi="Arial" w:cs="Arial"/>
                <w:b/>
                <w:bCs/>
                <w:sz w:val="24"/>
                <w:szCs w:val="24"/>
                <w:lang w:eastAsia="en-GB"/>
              </w:rPr>
              <w:t>Product Type:</w:t>
            </w:r>
            <w:r w:rsidRPr="00CF2003">
              <w:rPr>
                <w:rFonts w:ascii="Arial" w:eastAsia="Times New Roman" w:hAnsi="Arial" w:cs="Arial"/>
                <w:sz w:val="24"/>
                <w:szCs w:val="24"/>
                <w:lang w:eastAsia="en-GB"/>
              </w:rPr>
              <w:t> </w:t>
            </w:r>
          </w:p>
        </w:tc>
      </w:tr>
      <w:tr w:rsidR="00CF2003" w:rsidRPr="00CF2003" w14:paraId="5AC1F8AB" w14:textId="77777777" w:rsidTr="00CF2003">
        <w:tc>
          <w:tcPr>
            <w:tcW w:w="9015" w:type="dxa"/>
            <w:tcBorders>
              <w:top w:val="single" w:sz="6" w:space="0" w:color="95B3D7"/>
              <w:left w:val="single" w:sz="6" w:space="0" w:color="95B3D7"/>
              <w:bottom w:val="single" w:sz="6" w:space="0" w:color="95B3D7"/>
              <w:right w:val="single" w:sz="6" w:space="0" w:color="95B3D7"/>
            </w:tcBorders>
            <w:shd w:val="clear" w:color="auto" w:fill="auto"/>
            <w:hideMark/>
          </w:tcPr>
          <w:p w14:paraId="2677BE08" w14:textId="77777777" w:rsidR="00CF2003" w:rsidRPr="00CF2003" w:rsidRDefault="00CF2003" w:rsidP="00CF2003">
            <w:pPr>
              <w:spacing w:after="0" w:line="276" w:lineRule="auto"/>
              <w:textAlignment w:val="baseline"/>
              <w:rPr>
                <w:rFonts w:ascii="Segoe UI" w:eastAsia="Times New Roman" w:hAnsi="Segoe UI" w:cs="Segoe UI"/>
                <w:sz w:val="18"/>
                <w:szCs w:val="18"/>
                <w:lang w:eastAsia="en-GB"/>
              </w:rPr>
            </w:pPr>
            <w:r w:rsidRPr="00CF2003">
              <w:rPr>
                <w:rFonts w:ascii="Arial" w:eastAsia="Times New Roman" w:hAnsi="Arial" w:cs="Arial"/>
                <w:sz w:val="24"/>
                <w:szCs w:val="24"/>
                <w:lang w:eastAsia="en-GB"/>
              </w:rPr>
              <w:t>Trend analysis </w:t>
            </w:r>
          </w:p>
        </w:tc>
      </w:tr>
      <w:tr w:rsidR="00CF2003" w:rsidRPr="00CF2003" w14:paraId="2FD555E4" w14:textId="77777777" w:rsidTr="00CF2003">
        <w:tc>
          <w:tcPr>
            <w:tcW w:w="9015" w:type="dxa"/>
            <w:tcBorders>
              <w:top w:val="single" w:sz="6" w:space="0" w:color="95B3D7"/>
              <w:left w:val="single" w:sz="6" w:space="0" w:color="95B3D7"/>
              <w:bottom w:val="single" w:sz="6" w:space="0" w:color="95B3D7"/>
              <w:right w:val="single" w:sz="6" w:space="0" w:color="95B3D7"/>
            </w:tcBorders>
            <w:shd w:val="clear" w:color="auto" w:fill="DBE5F1"/>
            <w:hideMark/>
          </w:tcPr>
          <w:p w14:paraId="5E6DA810" w14:textId="77777777" w:rsidR="00CF2003" w:rsidRPr="00CF2003" w:rsidRDefault="00CF2003" w:rsidP="00CF2003">
            <w:pPr>
              <w:spacing w:after="0" w:line="276" w:lineRule="auto"/>
              <w:textAlignment w:val="baseline"/>
              <w:rPr>
                <w:rFonts w:ascii="Segoe UI" w:eastAsia="Times New Roman" w:hAnsi="Segoe UI" w:cs="Segoe UI"/>
                <w:sz w:val="18"/>
                <w:szCs w:val="18"/>
                <w:lang w:eastAsia="en-GB"/>
              </w:rPr>
            </w:pPr>
            <w:r w:rsidRPr="00CF2003">
              <w:rPr>
                <w:rFonts w:ascii="Arial" w:eastAsia="Times New Roman" w:hAnsi="Arial" w:cs="Arial"/>
                <w:b/>
                <w:bCs/>
                <w:sz w:val="24"/>
                <w:szCs w:val="24"/>
                <w:lang w:eastAsia="en-GB"/>
              </w:rPr>
              <w:t>Product Description:</w:t>
            </w:r>
            <w:r w:rsidRPr="00CF2003">
              <w:rPr>
                <w:rFonts w:ascii="Arial" w:eastAsia="Times New Roman" w:hAnsi="Arial" w:cs="Arial"/>
                <w:sz w:val="24"/>
                <w:szCs w:val="24"/>
                <w:lang w:eastAsia="en-GB"/>
              </w:rPr>
              <w:t> </w:t>
            </w:r>
          </w:p>
        </w:tc>
      </w:tr>
      <w:tr w:rsidR="00CF2003" w:rsidRPr="00CF2003" w14:paraId="30698B10" w14:textId="77777777" w:rsidTr="00CF2003">
        <w:tc>
          <w:tcPr>
            <w:tcW w:w="9015" w:type="dxa"/>
            <w:tcBorders>
              <w:top w:val="single" w:sz="6" w:space="0" w:color="95B3D7"/>
              <w:left w:val="single" w:sz="6" w:space="0" w:color="95B3D7"/>
              <w:bottom w:val="single" w:sz="6" w:space="0" w:color="95B3D7"/>
              <w:right w:val="single" w:sz="6" w:space="0" w:color="95B3D7"/>
            </w:tcBorders>
            <w:shd w:val="clear" w:color="auto" w:fill="auto"/>
            <w:hideMark/>
          </w:tcPr>
          <w:p w14:paraId="264CCAC5" w14:textId="4903D80F" w:rsidR="00CF2003" w:rsidRDefault="00CF2003" w:rsidP="00CF2003">
            <w:pPr>
              <w:spacing w:after="0" w:line="276" w:lineRule="auto"/>
              <w:textAlignment w:val="baseline"/>
              <w:rPr>
                <w:rFonts w:ascii="Arial" w:eastAsia="Times New Roman" w:hAnsi="Arial" w:cs="Arial"/>
                <w:sz w:val="24"/>
                <w:szCs w:val="24"/>
                <w:lang w:eastAsia="en-GB"/>
              </w:rPr>
            </w:pPr>
            <w:r w:rsidRPr="00CF2003">
              <w:rPr>
                <w:rFonts w:ascii="Arial" w:eastAsia="Times New Roman" w:hAnsi="Arial" w:cs="Arial"/>
                <w:sz w:val="24"/>
                <w:szCs w:val="24"/>
                <w:lang w:eastAsia="en-GB"/>
              </w:rPr>
              <w:t>This product provides expert analysis of investment and sectoral trends that are relevant to UK national security. The Department may wish to share any reports and underlying data provided by this product with partners in other government departments. </w:t>
            </w:r>
          </w:p>
          <w:p w14:paraId="33849569" w14:textId="77777777" w:rsidR="00CF2003" w:rsidRPr="00CF2003" w:rsidRDefault="00CF2003" w:rsidP="00CF2003">
            <w:pPr>
              <w:spacing w:after="0" w:line="276" w:lineRule="auto"/>
              <w:textAlignment w:val="baseline"/>
              <w:rPr>
                <w:rFonts w:ascii="Segoe UI" w:eastAsia="Times New Roman" w:hAnsi="Segoe UI" w:cs="Segoe UI"/>
                <w:sz w:val="18"/>
                <w:szCs w:val="18"/>
                <w:lang w:eastAsia="en-GB"/>
              </w:rPr>
            </w:pPr>
          </w:p>
          <w:p w14:paraId="6B0BB138" w14:textId="3819E835" w:rsidR="00CF2003" w:rsidRDefault="00CF2003" w:rsidP="00CF2003">
            <w:pPr>
              <w:spacing w:after="0" w:line="276" w:lineRule="auto"/>
              <w:textAlignment w:val="baseline"/>
              <w:rPr>
                <w:rFonts w:ascii="Arial" w:eastAsia="Times New Roman" w:hAnsi="Arial" w:cs="Arial"/>
                <w:sz w:val="24"/>
                <w:szCs w:val="24"/>
                <w:lang w:eastAsia="en-GB"/>
              </w:rPr>
            </w:pPr>
            <w:r w:rsidRPr="00CF2003">
              <w:rPr>
                <w:rFonts w:ascii="Arial" w:eastAsia="Times New Roman" w:hAnsi="Arial" w:cs="Arial"/>
                <w:sz w:val="24"/>
                <w:szCs w:val="24"/>
                <w:lang w:eastAsia="en-GB"/>
              </w:rPr>
              <w:t>The supplier will deliver the following two outputs. </w:t>
            </w:r>
          </w:p>
          <w:p w14:paraId="54EDFCB0" w14:textId="77777777" w:rsidR="00CF2003" w:rsidRPr="00CF2003" w:rsidRDefault="00CF2003" w:rsidP="00CF2003">
            <w:pPr>
              <w:spacing w:after="0" w:line="276" w:lineRule="auto"/>
              <w:textAlignment w:val="baseline"/>
              <w:rPr>
                <w:rFonts w:ascii="Segoe UI" w:eastAsia="Times New Roman" w:hAnsi="Segoe UI" w:cs="Segoe UI"/>
                <w:sz w:val="18"/>
                <w:szCs w:val="18"/>
                <w:lang w:eastAsia="en-GB"/>
              </w:rPr>
            </w:pPr>
          </w:p>
          <w:p w14:paraId="3A9AA063" w14:textId="77777777" w:rsidR="00CF2003" w:rsidRPr="00CF2003" w:rsidRDefault="00CF2003" w:rsidP="00CF2003">
            <w:pPr>
              <w:pStyle w:val="ListParagraph"/>
              <w:numPr>
                <w:ilvl w:val="0"/>
                <w:numId w:val="11"/>
              </w:numPr>
              <w:spacing w:after="0" w:line="276" w:lineRule="auto"/>
              <w:textAlignment w:val="baseline"/>
              <w:rPr>
                <w:rFonts w:ascii="Arial" w:eastAsia="Times New Roman" w:hAnsi="Arial" w:cs="Arial"/>
                <w:sz w:val="24"/>
                <w:szCs w:val="24"/>
                <w:lang w:eastAsia="en-GB"/>
              </w:rPr>
            </w:pPr>
            <w:r w:rsidRPr="00CF2003">
              <w:rPr>
                <w:rFonts w:ascii="Arial" w:eastAsia="Times New Roman" w:hAnsi="Arial" w:cs="Arial"/>
                <w:sz w:val="24"/>
                <w:szCs w:val="24"/>
                <w:u w:val="single"/>
                <w:lang w:eastAsia="en-GB"/>
              </w:rPr>
              <w:t>Regular reports on investment trends</w:t>
            </w:r>
            <w:r w:rsidRPr="00CF2003">
              <w:rPr>
                <w:rFonts w:ascii="Arial" w:eastAsia="Times New Roman" w:hAnsi="Arial" w:cs="Arial"/>
                <w:sz w:val="24"/>
                <w:szCs w:val="24"/>
                <w:lang w:eastAsia="en-GB"/>
              </w:rPr>
              <w:t> </w:t>
            </w:r>
          </w:p>
          <w:p w14:paraId="5907D74C" w14:textId="77777777" w:rsidR="00CF2003" w:rsidRPr="00CF2003" w:rsidRDefault="00CF2003" w:rsidP="00CF2003">
            <w:pPr>
              <w:spacing w:after="0" w:line="276" w:lineRule="auto"/>
              <w:textAlignment w:val="baseline"/>
              <w:rPr>
                <w:rFonts w:ascii="Segoe UI" w:eastAsia="Times New Roman" w:hAnsi="Segoe UI" w:cs="Segoe UI"/>
                <w:sz w:val="18"/>
                <w:szCs w:val="18"/>
                <w:lang w:eastAsia="en-GB"/>
              </w:rPr>
            </w:pPr>
            <w:r w:rsidRPr="00CF2003">
              <w:rPr>
                <w:rFonts w:ascii="Arial" w:eastAsia="Times New Roman" w:hAnsi="Arial" w:cs="Arial"/>
                <w:sz w:val="24"/>
                <w:szCs w:val="24"/>
                <w:lang w:eastAsia="en-GB"/>
              </w:rPr>
              <w:t>The supplier will provide on a quarterly basis a concise and accessible report containing expert analysis of investment trends relevant to UK national security. The reports will be sent to the Department on the final day, or the closest working day if the final day falls on a weekend or bank holiday, of each quarter starting from January. This means that reports will be due at the ends of March, June, September and December for the duration of the contract. The reports will include, at a minimum but not limited to: </w:t>
            </w:r>
          </w:p>
          <w:p w14:paraId="1CDB5694" w14:textId="77777777" w:rsidR="00CF2003" w:rsidRPr="00CF2003" w:rsidRDefault="00CF2003" w:rsidP="00CF2003">
            <w:pPr>
              <w:pStyle w:val="ListParagraph"/>
              <w:numPr>
                <w:ilvl w:val="0"/>
                <w:numId w:val="10"/>
              </w:numPr>
              <w:spacing w:after="0" w:line="276" w:lineRule="auto"/>
              <w:textAlignment w:val="baseline"/>
              <w:rPr>
                <w:rFonts w:ascii="Arial" w:eastAsia="Times New Roman" w:hAnsi="Arial" w:cs="Arial"/>
                <w:sz w:val="24"/>
                <w:szCs w:val="24"/>
                <w:lang w:eastAsia="en-GB"/>
              </w:rPr>
            </w:pPr>
            <w:r w:rsidRPr="00CF2003">
              <w:rPr>
                <w:rFonts w:ascii="Arial" w:eastAsia="Times New Roman" w:hAnsi="Arial" w:cs="Arial"/>
                <w:sz w:val="24"/>
                <w:szCs w:val="24"/>
                <w:lang w:eastAsia="en-GB"/>
              </w:rPr>
              <w:t>a summary of the latest trends in UK-inbound foreign investment and an analysis of the policy and commercial drivers of those trends; and </w:t>
            </w:r>
          </w:p>
          <w:p w14:paraId="259528AF" w14:textId="049CF4AC" w:rsidR="00CF2003" w:rsidRDefault="00CF2003" w:rsidP="00CF2003">
            <w:pPr>
              <w:pStyle w:val="ListParagraph"/>
              <w:numPr>
                <w:ilvl w:val="0"/>
                <w:numId w:val="10"/>
              </w:numPr>
              <w:spacing w:after="0" w:line="276" w:lineRule="auto"/>
              <w:textAlignment w:val="baseline"/>
              <w:rPr>
                <w:rFonts w:ascii="Arial" w:eastAsia="Times New Roman" w:hAnsi="Arial" w:cs="Arial"/>
                <w:sz w:val="24"/>
                <w:szCs w:val="24"/>
                <w:lang w:eastAsia="en-GB"/>
              </w:rPr>
            </w:pPr>
            <w:r w:rsidRPr="00CF2003">
              <w:rPr>
                <w:rFonts w:ascii="Arial" w:eastAsia="Times New Roman" w:hAnsi="Arial" w:cs="Arial"/>
                <w:sz w:val="24"/>
                <w:szCs w:val="24"/>
                <w:lang w:eastAsia="en-GB"/>
              </w:rPr>
              <w:t>a summary of the latest investment trends in the sensitive sectors as defined under NSI legislation. </w:t>
            </w:r>
          </w:p>
          <w:p w14:paraId="14631499" w14:textId="77777777" w:rsidR="00CF2003" w:rsidRPr="00CF2003" w:rsidRDefault="00CF2003" w:rsidP="00CF2003">
            <w:pPr>
              <w:pStyle w:val="ListParagraph"/>
              <w:spacing w:after="0" w:line="276" w:lineRule="auto"/>
              <w:ind w:left="1800"/>
              <w:textAlignment w:val="baseline"/>
              <w:rPr>
                <w:rFonts w:ascii="Arial" w:eastAsia="Times New Roman" w:hAnsi="Arial" w:cs="Arial"/>
                <w:sz w:val="24"/>
                <w:szCs w:val="24"/>
                <w:lang w:eastAsia="en-GB"/>
              </w:rPr>
            </w:pPr>
          </w:p>
          <w:p w14:paraId="66468EE6" w14:textId="318501F7" w:rsidR="00CF2003" w:rsidRDefault="00CF2003" w:rsidP="00CF2003">
            <w:pPr>
              <w:spacing w:after="0" w:line="276" w:lineRule="auto"/>
              <w:textAlignment w:val="baseline"/>
              <w:rPr>
                <w:rFonts w:ascii="Arial" w:eastAsia="Times New Roman" w:hAnsi="Arial" w:cs="Arial"/>
                <w:sz w:val="24"/>
                <w:szCs w:val="24"/>
                <w:lang w:eastAsia="en-GB"/>
              </w:rPr>
            </w:pPr>
            <w:r w:rsidRPr="00CF2003">
              <w:rPr>
                <w:rFonts w:ascii="Arial" w:eastAsia="Times New Roman" w:hAnsi="Arial" w:cs="Arial"/>
                <w:sz w:val="24"/>
                <w:szCs w:val="24"/>
                <w:lang w:eastAsia="en-GB"/>
              </w:rPr>
              <w:t>The reports will be provided to the Department in .pdf format and any data underlying analysing contained in the report will be provided in .csv format. </w:t>
            </w:r>
            <w:r>
              <w:rPr>
                <w:rFonts w:ascii="Arial" w:eastAsia="Times New Roman" w:hAnsi="Arial" w:cs="Arial"/>
                <w:sz w:val="24"/>
                <w:szCs w:val="24"/>
                <w:lang w:eastAsia="en-GB"/>
              </w:rPr>
              <w:t xml:space="preserve"> </w:t>
            </w:r>
          </w:p>
          <w:p w14:paraId="56A91D33" w14:textId="77777777" w:rsidR="00CF2003" w:rsidRPr="00CF2003" w:rsidRDefault="00CF2003" w:rsidP="00CF2003">
            <w:pPr>
              <w:spacing w:after="0" w:line="276" w:lineRule="auto"/>
              <w:textAlignment w:val="baseline"/>
              <w:rPr>
                <w:rFonts w:ascii="Segoe UI" w:eastAsia="Times New Roman" w:hAnsi="Segoe UI" w:cs="Segoe UI"/>
                <w:sz w:val="18"/>
                <w:szCs w:val="18"/>
                <w:lang w:eastAsia="en-GB"/>
              </w:rPr>
            </w:pPr>
          </w:p>
          <w:p w14:paraId="3BE4F8C7" w14:textId="30D205CB" w:rsidR="00CF2003" w:rsidRDefault="00CF2003" w:rsidP="00CF2003">
            <w:pPr>
              <w:spacing w:after="0" w:line="276" w:lineRule="auto"/>
              <w:textAlignment w:val="baseline"/>
              <w:rPr>
                <w:rFonts w:ascii="Arial" w:eastAsia="Times New Roman" w:hAnsi="Arial" w:cs="Arial"/>
                <w:sz w:val="24"/>
                <w:szCs w:val="24"/>
                <w:lang w:eastAsia="en-GB"/>
              </w:rPr>
            </w:pPr>
            <w:r w:rsidRPr="00CF2003">
              <w:rPr>
                <w:rFonts w:ascii="Arial" w:eastAsia="Times New Roman" w:hAnsi="Arial" w:cs="Arial"/>
                <w:sz w:val="24"/>
                <w:szCs w:val="24"/>
                <w:lang w:eastAsia="en-GB"/>
              </w:rPr>
              <w:t>The supplier will be available to present the reports to the Department and respond to any questions about the analysis. </w:t>
            </w:r>
          </w:p>
          <w:p w14:paraId="0435158A" w14:textId="77777777" w:rsidR="00CF2003" w:rsidRPr="00CF2003" w:rsidRDefault="00CF2003" w:rsidP="00CF2003">
            <w:pPr>
              <w:spacing w:after="0" w:line="276" w:lineRule="auto"/>
              <w:textAlignment w:val="baseline"/>
              <w:rPr>
                <w:rFonts w:ascii="Segoe UI" w:eastAsia="Times New Roman" w:hAnsi="Segoe UI" w:cs="Segoe UI"/>
                <w:sz w:val="18"/>
                <w:szCs w:val="18"/>
                <w:lang w:eastAsia="en-GB"/>
              </w:rPr>
            </w:pPr>
          </w:p>
          <w:p w14:paraId="15403C2E" w14:textId="40279ABB" w:rsidR="00CF2003" w:rsidRDefault="00CF2003" w:rsidP="00CF2003">
            <w:pPr>
              <w:spacing w:after="0" w:line="276" w:lineRule="auto"/>
              <w:textAlignment w:val="baseline"/>
              <w:rPr>
                <w:rFonts w:ascii="Arial" w:eastAsia="Times New Roman" w:hAnsi="Arial" w:cs="Arial"/>
                <w:sz w:val="24"/>
                <w:szCs w:val="24"/>
                <w:lang w:eastAsia="en-GB"/>
              </w:rPr>
            </w:pPr>
            <w:r w:rsidRPr="00CF2003">
              <w:rPr>
                <w:rFonts w:ascii="Arial" w:eastAsia="Times New Roman" w:hAnsi="Arial" w:cs="Arial"/>
                <w:sz w:val="24"/>
                <w:szCs w:val="24"/>
                <w:lang w:eastAsia="en-GB"/>
              </w:rPr>
              <w:t xml:space="preserve">In order to ensure the Department has sufficient material by which to evaluate the services of the supplier during the Trial Period (see ‘Contract Term’ section below for more information about the Trial Period), the supplier will provide two reports during the Trial Period, one at the end of December 2021 and the other at the end of </w:t>
            </w:r>
            <w:r w:rsidRPr="00CF2003">
              <w:rPr>
                <w:rFonts w:ascii="Arial" w:eastAsia="Times New Roman" w:hAnsi="Arial" w:cs="Arial"/>
                <w:sz w:val="24"/>
                <w:szCs w:val="24"/>
                <w:lang w:eastAsia="en-GB"/>
              </w:rPr>
              <w:lastRenderedPageBreak/>
              <w:t>January 2022. The reports provided under this output during the Trial Period and thereafter are referred to collectively as “regular trend reports”.</w:t>
            </w:r>
          </w:p>
          <w:p w14:paraId="4A67DCC9" w14:textId="77777777" w:rsidR="00CF2003" w:rsidRPr="00CF2003" w:rsidRDefault="00CF2003" w:rsidP="00CF2003">
            <w:pPr>
              <w:spacing w:after="0" w:line="276" w:lineRule="auto"/>
              <w:textAlignment w:val="baseline"/>
              <w:rPr>
                <w:rFonts w:ascii="Arial" w:eastAsia="Times New Roman" w:hAnsi="Arial" w:cs="Arial"/>
                <w:sz w:val="24"/>
                <w:szCs w:val="24"/>
                <w:lang w:eastAsia="en-GB"/>
              </w:rPr>
            </w:pPr>
          </w:p>
          <w:p w14:paraId="688EC2CE" w14:textId="0D8DF798" w:rsidR="00CF2003" w:rsidRDefault="00CF2003" w:rsidP="00CF2003">
            <w:pPr>
              <w:spacing w:after="0" w:line="276" w:lineRule="auto"/>
              <w:textAlignment w:val="baseline"/>
              <w:rPr>
                <w:rFonts w:ascii="Arial" w:eastAsia="Times New Roman" w:hAnsi="Arial" w:cs="Arial"/>
                <w:sz w:val="24"/>
                <w:szCs w:val="24"/>
                <w:lang w:eastAsia="en-GB"/>
              </w:rPr>
            </w:pPr>
            <w:r w:rsidRPr="00CF2003">
              <w:rPr>
                <w:rFonts w:ascii="Arial" w:eastAsia="Times New Roman" w:hAnsi="Arial" w:cs="Arial"/>
                <w:sz w:val="24"/>
                <w:szCs w:val="24"/>
                <w:lang w:eastAsia="en-GB"/>
              </w:rPr>
              <w:t>Unless the break clause is exercised to terminate the contract at the end of the Trial Period, the first of the quarterly reports will be due at the end of March 2022 and continue thereafter on the quarterly schedule as set out above. </w:t>
            </w:r>
          </w:p>
          <w:p w14:paraId="1A603D44" w14:textId="77777777" w:rsidR="00CF2003" w:rsidRPr="00CF2003" w:rsidRDefault="00CF2003" w:rsidP="00CF2003">
            <w:pPr>
              <w:spacing w:after="0" w:line="276" w:lineRule="auto"/>
              <w:textAlignment w:val="baseline"/>
              <w:rPr>
                <w:rFonts w:ascii="Segoe UI" w:eastAsia="Times New Roman" w:hAnsi="Segoe UI" w:cs="Segoe UI"/>
                <w:sz w:val="18"/>
                <w:szCs w:val="18"/>
                <w:lang w:eastAsia="en-GB"/>
              </w:rPr>
            </w:pPr>
          </w:p>
          <w:p w14:paraId="47D4579D" w14:textId="77777777" w:rsidR="00CF2003" w:rsidRPr="00CF2003" w:rsidRDefault="00CF2003" w:rsidP="00CF2003">
            <w:pPr>
              <w:pStyle w:val="ListParagraph"/>
              <w:numPr>
                <w:ilvl w:val="0"/>
                <w:numId w:val="11"/>
              </w:numPr>
              <w:spacing w:after="0" w:line="276" w:lineRule="auto"/>
              <w:textAlignment w:val="baseline"/>
              <w:rPr>
                <w:rFonts w:ascii="Arial" w:eastAsia="Times New Roman" w:hAnsi="Arial" w:cs="Arial"/>
                <w:sz w:val="24"/>
                <w:szCs w:val="24"/>
                <w:lang w:eastAsia="en-GB"/>
              </w:rPr>
            </w:pPr>
            <w:r w:rsidRPr="00CF2003">
              <w:rPr>
                <w:rFonts w:ascii="Arial" w:eastAsia="Times New Roman" w:hAnsi="Arial" w:cs="Arial"/>
                <w:sz w:val="24"/>
                <w:szCs w:val="24"/>
                <w:u w:val="single"/>
                <w:lang w:eastAsia="en-GB"/>
              </w:rPr>
              <w:t>Ad hoc analysis of sensitive sectors</w:t>
            </w:r>
            <w:r w:rsidRPr="00CF2003">
              <w:rPr>
                <w:rFonts w:ascii="Arial" w:eastAsia="Times New Roman" w:hAnsi="Arial" w:cs="Arial"/>
                <w:sz w:val="24"/>
                <w:szCs w:val="24"/>
                <w:lang w:eastAsia="en-GB"/>
              </w:rPr>
              <w:t> </w:t>
            </w:r>
          </w:p>
          <w:p w14:paraId="383208C3" w14:textId="77777777" w:rsidR="00CF2003" w:rsidRPr="00CF2003" w:rsidRDefault="00CF2003" w:rsidP="00CF2003">
            <w:pPr>
              <w:spacing w:after="0" w:line="276" w:lineRule="auto"/>
              <w:textAlignment w:val="baseline"/>
              <w:rPr>
                <w:rFonts w:ascii="Segoe UI" w:eastAsia="Times New Roman" w:hAnsi="Segoe UI" w:cs="Segoe UI"/>
                <w:sz w:val="18"/>
                <w:szCs w:val="18"/>
                <w:lang w:eastAsia="en-GB"/>
              </w:rPr>
            </w:pPr>
            <w:r w:rsidRPr="00CF2003">
              <w:rPr>
                <w:rFonts w:ascii="Arial" w:eastAsia="Times New Roman" w:hAnsi="Arial" w:cs="Arial"/>
                <w:sz w:val="24"/>
                <w:szCs w:val="24"/>
                <w:lang w:eastAsia="en-GB"/>
              </w:rPr>
              <w:t>The supplier will, when required by the Department on an ad hoc basis, prepare expert market analysis of a sector (or sub-sector), which will likely be connected to the 17 sensitive areas of the economy set out above. </w:t>
            </w:r>
          </w:p>
          <w:p w14:paraId="5D731086" w14:textId="34341C09" w:rsidR="00CF2003" w:rsidRPr="00CF2003" w:rsidRDefault="00CF2003" w:rsidP="00CF2003">
            <w:pPr>
              <w:spacing w:after="0" w:line="276" w:lineRule="auto"/>
              <w:textAlignment w:val="baseline"/>
              <w:rPr>
                <w:rFonts w:ascii="Arial" w:eastAsia="Times New Roman" w:hAnsi="Arial" w:cs="Arial"/>
                <w:sz w:val="24"/>
                <w:szCs w:val="24"/>
                <w:lang w:eastAsia="en-GB"/>
              </w:rPr>
            </w:pPr>
            <w:r w:rsidRPr="00CF2003">
              <w:rPr>
                <w:rFonts w:ascii="Arial" w:eastAsia="Times New Roman" w:hAnsi="Arial" w:cs="Arial"/>
                <w:sz w:val="24"/>
                <w:szCs w:val="24"/>
                <w:lang w:eastAsia="en-GB"/>
              </w:rPr>
              <w:t>The scope of each analysis will depend on the Department’s requirements, but at a minimum it will likely need to include: </w:t>
            </w:r>
          </w:p>
          <w:p w14:paraId="3F76D4F1" w14:textId="77777777" w:rsidR="00CF2003" w:rsidRPr="00CF2003" w:rsidRDefault="00CF2003" w:rsidP="00CF2003">
            <w:pPr>
              <w:numPr>
                <w:ilvl w:val="0"/>
                <w:numId w:val="9"/>
              </w:numPr>
              <w:spacing w:after="0" w:line="276" w:lineRule="auto"/>
              <w:ind w:left="1440" w:firstLine="0"/>
              <w:textAlignment w:val="baseline"/>
              <w:rPr>
                <w:rFonts w:ascii="Arial" w:eastAsia="Times New Roman" w:hAnsi="Arial" w:cs="Arial"/>
                <w:sz w:val="24"/>
                <w:szCs w:val="24"/>
                <w:lang w:eastAsia="en-GB"/>
              </w:rPr>
            </w:pPr>
            <w:r w:rsidRPr="00CF2003">
              <w:rPr>
                <w:rFonts w:ascii="Arial" w:eastAsia="Times New Roman" w:hAnsi="Arial" w:cs="Arial"/>
                <w:sz w:val="24"/>
                <w:szCs w:val="24"/>
                <w:lang w:eastAsia="en-GB"/>
              </w:rPr>
              <w:t>a summary of the overall shape of the markets relevant to the sector or sub-sector; </w:t>
            </w:r>
          </w:p>
          <w:p w14:paraId="4CD409ED" w14:textId="77777777" w:rsidR="00CF2003" w:rsidRPr="00CF2003" w:rsidRDefault="00CF2003" w:rsidP="00CF2003">
            <w:pPr>
              <w:numPr>
                <w:ilvl w:val="0"/>
                <w:numId w:val="9"/>
              </w:numPr>
              <w:spacing w:after="0" w:line="276" w:lineRule="auto"/>
              <w:ind w:left="1440" w:firstLine="0"/>
              <w:textAlignment w:val="baseline"/>
              <w:rPr>
                <w:rFonts w:ascii="Arial" w:eastAsia="Times New Roman" w:hAnsi="Arial" w:cs="Arial"/>
                <w:sz w:val="24"/>
                <w:szCs w:val="24"/>
                <w:lang w:eastAsia="en-GB"/>
              </w:rPr>
            </w:pPr>
            <w:r w:rsidRPr="00CF2003">
              <w:rPr>
                <w:rFonts w:ascii="Arial" w:eastAsia="Times New Roman" w:hAnsi="Arial" w:cs="Arial"/>
                <w:sz w:val="24"/>
                <w:szCs w:val="24"/>
                <w:lang w:eastAsia="en-GB"/>
              </w:rPr>
              <w:t>analysis of the key recent investment trends in the relevant markets; </w:t>
            </w:r>
          </w:p>
          <w:p w14:paraId="7D8DA3E8" w14:textId="77777777" w:rsidR="00CF2003" w:rsidRPr="00CF2003" w:rsidRDefault="00CF2003" w:rsidP="00CF2003">
            <w:pPr>
              <w:numPr>
                <w:ilvl w:val="0"/>
                <w:numId w:val="9"/>
              </w:numPr>
              <w:spacing w:after="0" w:line="276" w:lineRule="auto"/>
              <w:ind w:left="1440" w:firstLine="0"/>
              <w:textAlignment w:val="baseline"/>
              <w:rPr>
                <w:rFonts w:ascii="Arial" w:eastAsia="Times New Roman" w:hAnsi="Arial" w:cs="Arial"/>
                <w:sz w:val="24"/>
                <w:szCs w:val="24"/>
                <w:lang w:eastAsia="en-GB"/>
              </w:rPr>
            </w:pPr>
            <w:r w:rsidRPr="00CF2003">
              <w:rPr>
                <w:rFonts w:ascii="Arial" w:eastAsia="Times New Roman" w:hAnsi="Arial" w:cs="Arial"/>
                <w:sz w:val="24"/>
                <w:szCs w:val="24"/>
                <w:lang w:eastAsia="en-GB"/>
              </w:rPr>
              <w:t>analysis of the key companies operating within a relevant market, including the unique selling points of those companies; </w:t>
            </w:r>
          </w:p>
          <w:p w14:paraId="3DD6012E" w14:textId="77777777" w:rsidR="00CF2003" w:rsidRPr="00CF2003" w:rsidRDefault="00CF2003" w:rsidP="00CF2003">
            <w:pPr>
              <w:numPr>
                <w:ilvl w:val="0"/>
                <w:numId w:val="9"/>
              </w:numPr>
              <w:spacing w:after="0" w:line="276" w:lineRule="auto"/>
              <w:ind w:left="1440" w:firstLine="0"/>
              <w:textAlignment w:val="baseline"/>
              <w:rPr>
                <w:rFonts w:ascii="Arial" w:eastAsia="Times New Roman" w:hAnsi="Arial" w:cs="Arial"/>
                <w:sz w:val="24"/>
                <w:szCs w:val="24"/>
                <w:lang w:eastAsia="en-GB"/>
              </w:rPr>
            </w:pPr>
            <w:r w:rsidRPr="00CF2003">
              <w:rPr>
                <w:rFonts w:ascii="Arial" w:eastAsia="Times New Roman" w:hAnsi="Arial" w:cs="Arial"/>
                <w:sz w:val="24"/>
                <w:szCs w:val="24"/>
                <w:lang w:eastAsia="en-GB"/>
              </w:rPr>
              <w:t>analysis of the extent of foreign ownership of private and public companies operating within the relevant markets; and </w:t>
            </w:r>
          </w:p>
          <w:p w14:paraId="55F80BF7" w14:textId="224DCC28" w:rsidR="00CF2003" w:rsidRDefault="00CF2003" w:rsidP="00CF2003">
            <w:pPr>
              <w:numPr>
                <w:ilvl w:val="0"/>
                <w:numId w:val="9"/>
              </w:numPr>
              <w:spacing w:after="0" w:line="276" w:lineRule="auto"/>
              <w:ind w:left="1440" w:firstLine="0"/>
              <w:textAlignment w:val="baseline"/>
              <w:rPr>
                <w:rFonts w:ascii="Arial" w:eastAsia="Times New Roman" w:hAnsi="Arial" w:cs="Arial"/>
                <w:sz w:val="24"/>
                <w:szCs w:val="24"/>
                <w:lang w:eastAsia="en-GB"/>
              </w:rPr>
            </w:pPr>
            <w:r w:rsidRPr="00CF2003">
              <w:rPr>
                <w:rFonts w:ascii="Arial" w:eastAsia="Times New Roman" w:hAnsi="Arial" w:cs="Arial"/>
                <w:sz w:val="24"/>
                <w:szCs w:val="24"/>
                <w:lang w:eastAsia="en-GB"/>
              </w:rPr>
              <w:t>analysis of the concentration of any relevant supply chains on any particular companies or countries. </w:t>
            </w:r>
          </w:p>
          <w:p w14:paraId="1D9DEE74" w14:textId="77777777" w:rsidR="00CF2003" w:rsidRPr="00CF2003" w:rsidRDefault="00CF2003" w:rsidP="00CF2003">
            <w:pPr>
              <w:spacing w:after="0" w:line="276" w:lineRule="auto"/>
              <w:ind w:left="1440"/>
              <w:textAlignment w:val="baseline"/>
              <w:rPr>
                <w:rFonts w:ascii="Arial" w:eastAsia="Times New Roman" w:hAnsi="Arial" w:cs="Arial"/>
                <w:sz w:val="24"/>
                <w:szCs w:val="24"/>
                <w:lang w:eastAsia="en-GB"/>
              </w:rPr>
            </w:pPr>
          </w:p>
          <w:p w14:paraId="27EFDCCC" w14:textId="4ED19C66" w:rsidR="00CF2003" w:rsidRDefault="00CF2003" w:rsidP="00CF2003">
            <w:pPr>
              <w:spacing w:after="0" w:line="276" w:lineRule="auto"/>
              <w:textAlignment w:val="baseline"/>
              <w:rPr>
                <w:rFonts w:ascii="Arial" w:eastAsia="Times New Roman" w:hAnsi="Arial" w:cs="Arial"/>
                <w:sz w:val="24"/>
                <w:szCs w:val="24"/>
                <w:lang w:eastAsia="en-GB"/>
              </w:rPr>
            </w:pPr>
            <w:r w:rsidRPr="00CF2003">
              <w:rPr>
                <w:rFonts w:ascii="Arial" w:eastAsia="Times New Roman" w:hAnsi="Arial" w:cs="Arial"/>
                <w:sz w:val="24"/>
                <w:szCs w:val="24"/>
                <w:lang w:eastAsia="en-GB"/>
              </w:rPr>
              <w:t>The Department will commission each piece of analysis. At the beginning of each commission, the Department and the supplier will agree the scope, price and delivery timetable of the analysis. There may be 1-2 reports required per month, but it will be within the Department’s discretion as to how often this product is required. </w:t>
            </w:r>
          </w:p>
          <w:p w14:paraId="5A69E11A" w14:textId="77777777" w:rsidR="00CF2003" w:rsidRPr="00CF2003" w:rsidRDefault="00CF2003" w:rsidP="00CF2003">
            <w:pPr>
              <w:spacing w:after="0" w:line="276" w:lineRule="auto"/>
              <w:textAlignment w:val="baseline"/>
              <w:rPr>
                <w:rFonts w:ascii="Segoe UI" w:eastAsia="Times New Roman" w:hAnsi="Segoe UI" w:cs="Segoe UI"/>
                <w:sz w:val="18"/>
                <w:szCs w:val="18"/>
                <w:lang w:eastAsia="en-GB"/>
              </w:rPr>
            </w:pPr>
          </w:p>
          <w:p w14:paraId="37F63E53" w14:textId="2AED7970" w:rsidR="00CF2003" w:rsidRDefault="00CF2003" w:rsidP="00CF2003">
            <w:pPr>
              <w:spacing w:after="0" w:line="276" w:lineRule="auto"/>
              <w:textAlignment w:val="baseline"/>
              <w:rPr>
                <w:rFonts w:ascii="Arial" w:eastAsia="Times New Roman" w:hAnsi="Arial" w:cs="Arial"/>
                <w:sz w:val="24"/>
                <w:szCs w:val="24"/>
                <w:lang w:eastAsia="en-GB"/>
              </w:rPr>
            </w:pPr>
            <w:r w:rsidRPr="00CF2003">
              <w:rPr>
                <w:rFonts w:ascii="Arial" w:eastAsia="Times New Roman" w:hAnsi="Arial" w:cs="Arial"/>
                <w:sz w:val="24"/>
                <w:szCs w:val="24"/>
                <w:lang w:eastAsia="en-GB"/>
              </w:rPr>
              <w:t>The report will be provided to the Department in .pdf format and any data underlying analysing contained in the report will be provided in .csv format. </w:t>
            </w:r>
          </w:p>
          <w:p w14:paraId="7358931A" w14:textId="77777777" w:rsidR="00CF2003" w:rsidRPr="00CF2003" w:rsidRDefault="00CF2003" w:rsidP="00CF2003">
            <w:pPr>
              <w:spacing w:after="0" w:line="276" w:lineRule="auto"/>
              <w:textAlignment w:val="baseline"/>
              <w:rPr>
                <w:rFonts w:ascii="Segoe UI" w:eastAsia="Times New Roman" w:hAnsi="Segoe UI" w:cs="Segoe UI"/>
                <w:sz w:val="18"/>
                <w:szCs w:val="18"/>
                <w:lang w:eastAsia="en-GB"/>
              </w:rPr>
            </w:pPr>
          </w:p>
          <w:p w14:paraId="7CC1C32D" w14:textId="77777777" w:rsidR="00CF2003" w:rsidRPr="00CF2003" w:rsidRDefault="00CF2003" w:rsidP="00CF2003">
            <w:pPr>
              <w:spacing w:after="0" w:line="276" w:lineRule="auto"/>
              <w:textAlignment w:val="baseline"/>
              <w:rPr>
                <w:rFonts w:ascii="Segoe UI" w:eastAsia="Times New Roman" w:hAnsi="Segoe UI" w:cs="Segoe UI"/>
                <w:sz w:val="18"/>
                <w:szCs w:val="18"/>
                <w:lang w:eastAsia="en-GB"/>
              </w:rPr>
            </w:pPr>
            <w:r w:rsidRPr="00CF2003">
              <w:rPr>
                <w:rFonts w:ascii="Arial" w:eastAsia="Times New Roman" w:hAnsi="Arial" w:cs="Arial"/>
                <w:sz w:val="24"/>
                <w:szCs w:val="24"/>
                <w:lang w:eastAsia="en-GB"/>
              </w:rPr>
              <w:t>The supplier will be available to present the report to the Department and respond to any questions about the analysis or commentary. </w:t>
            </w:r>
          </w:p>
        </w:tc>
      </w:tr>
      <w:tr w:rsidR="00CF2003" w:rsidRPr="00CF2003" w14:paraId="52D808C2" w14:textId="77777777" w:rsidTr="00CF2003">
        <w:tc>
          <w:tcPr>
            <w:tcW w:w="9015" w:type="dxa"/>
            <w:tcBorders>
              <w:top w:val="single" w:sz="6" w:space="0" w:color="95B3D7"/>
              <w:left w:val="single" w:sz="6" w:space="0" w:color="95B3D7"/>
              <w:bottom w:val="single" w:sz="6" w:space="0" w:color="95B3D7"/>
              <w:right w:val="single" w:sz="6" w:space="0" w:color="95B3D7"/>
            </w:tcBorders>
            <w:shd w:val="clear" w:color="auto" w:fill="DBE5F1"/>
            <w:hideMark/>
          </w:tcPr>
          <w:p w14:paraId="5C08A613" w14:textId="77777777" w:rsidR="00CF2003" w:rsidRPr="00CF2003" w:rsidRDefault="00CF2003" w:rsidP="00CF2003">
            <w:pPr>
              <w:spacing w:after="0" w:line="276" w:lineRule="auto"/>
              <w:textAlignment w:val="baseline"/>
              <w:rPr>
                <w:rFonts w:ascii="Segoe UI" w:eastAsia="Times New Roman" w:hAnsi="Segoe UI" w:cs="Segoe UI"/>
                <w:sz w:val="18"/>
                <w:szCs w:val="18"/>
                <w:lang w:eastAsia="en-GB"/>
              </w:rPr>
            </w:pPr>
            <w:r w:rsidRPr="00CF2003">
              <w:rPr>
                <w:rFonts w:ascii="Arial" w:eastAsia="Times New Roman" w:hAnsi="Arial" w:cs="Arial"/>
                <w:b/>
                <w:bCs/>
                <w:sz w:val="24"/>
                <w:szCs w:val="24"/>
                <w:lang w:eastAsia="en-GB"/>
              </w:rPr>
              <w:lastRenderedPageBreak/>
              <w:t>Geographical Coverage:</w:t>
            </w:r>
            <w:r w:rsidRPr="00CF2003">
              <w:rPr>
                <w:rFonts w:ascii="Arial" w:eastAsia="Times New Roman" w:hAnsi="Arial" w:cs="Arial"/>
                <w:sz w:val="24"/>
                <w:szCs w:val="24"/>
                <w:lang w:eastAsia="en-GB"/>
              </w:rPr>
              <w:t> </w:t>
            </w:r>
          </w:p>
        </w:tc>
      </w:tr>
      <w:tr w:rsidR="00CF2003" w:rsidRPr="00CF2003" w14:paraId="3529AA5B" w14:textId="77777777" w:rsidTr="00CF2003">
        <w:tc>
          <w:tcPr>
            <w:tcW w:w="9015" w:type="dxa"/>
            <w:tcBorders>
              <w:top w:val="single" w:sz="6" w:space="0" w:color="95B3D7"/>
              <w:left w:val="single" w:sz="6" w:space="0" w:color="95B3D7"/>
              <w:bottom w:val="single" w:sz="6" w:space="0" w:color="95B3D7"/>
              <w:right w:val="single" w:sz="6" w:space="0" w:color="95B3D7"/>
            </w:tcBorders>
            <w:shd w:val="clear" w:color="auto" w:fill="auto"/>
            <w:hideMark/>
          </w:tcPr>
          <w:p w14:paraId="44D4DCDC" w14:textId="77777777" w:rsidR="00CF2003" w:rsidRPr="00CF2003" w:rsidRDefault="00CF2003" w:rsidP="00CF2003">
            <w:pPr>
              <w:spacing w:after="0" w:line="276" w:lineRule="auto"/>
              <w:textAlignment w:val="baseline"/>
              <w:rPr>
                <w:rFonts w:ascii="Segoe UI" w:eastAsia="Times New Roman" w:hAnsi="Segoe UI" w:cs="Segoe UI"/>
                <w:sz w:val="18"/>
                <w:szCs w:val="18"/>
                <w:lang w:eastAsia="en-GB"/>
              </w:rPr>
            </w:pPr>
            <w:r w:rsidRPr="00CF2003">
              <w:rPr>
                <w:rFonts w:ascii="Arial" w:eastAsia="Times New Roman" w:hAnsi="Arial" w:cs="Arial"/>
                <w:sz w:val="24"/>
                <w:szCs w:val="24"/>
                <w:lang w:eastAsia="en-GB"/>
              </w:rPr>
              <w:t>Worldwide. </w:t>
            </w:r>
          </w:p>
        </w:tc>
      </w:tr>
    </w:tbl>
    <w:p w14:paraId="379737CC" w14:textId="77777777" w:rsidR="00CD605B" w:rsidRDefault="00CD605B" w:rsidP="00CF2003">
      <w:pPr>
        <w:spacing w:line="276" w:lineRule="auto"/>
      </w:pPr>
    </w:p>
    <w:sectPr w:rsidR="00CD605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70451" w14:textId="77777777" w:rsidR="00CC4C7D" w:rsidRDefault="00CC4C7D" w:rsidP="000C2681">
      <w:pPr>
        <w:spacing w:after="0" w:line="240" w:lineRule="auto"/>
      </w:pPr>
      <w:r>
        <w:separator/>
      </w:r>
    </w:p>
  </w:endnote>
  <w:endnote w:type="continuationSeparator" w:id="0">
    <w:p w14:paraId="374ADB7A" w14:textId="77777777" w:rsidR="00CC4C7D" w:rsidRDefault="00CC4C7D" w:rsidP="000C2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89D9F" w14:textId="77777777" w:rsidR="00CC4C7D" w:rsidRDefault="00CC4C7D" w:rsidP="000C2681">
      <w:pPr>
        <w:spacing w:after="0" w:line="240" w:lineRule="auto"/>
      </w:pPr>
      <w:r>
        <w:separator/>
      </w:r>
    </w:p>
  </w:footnote>
  <w:footnote w:type="continuationSeparator" w:id="0">
    <w:p w14:paraId="74E1E791" w14:textId="77777777" w:rsidR="00CC4C7D" w:rsidRDefault="00CC4C7D" w:rsidP="000C26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77FE"/>
    <w:multiLevelType w:val="multilevel"/>
    <w:tmpl w:val="301853CA"/>
    <w:lvl w:ilvl="0">
      <w:start w:val="1"/>
      <w:numFmt w:val="bullet"/>
      <w:lvlText w:val=""/>
      <w:lvlJc w:val="left"/>
      <w:pPr>
        <w:tabs>
          <w:tab w:val="num" w:pos="7818"/>
        </w:tabs>
        <w:ind w:left="7818" w:hanging="360"/>
      </w:pPr>
      <w:rPr>
        <w:rFonts w:ascii="Symbol" w:hAnsi="Symbol" w:hint="default"/>
        <w:sz w:val="20"/>
      </w:rPr>
    </w:lvl>
    <w:lvl w:ilvl="1" w:tentative="1">
      <w:start w:val="1"/>
      <w:numFmt w:val="bullet"/>
      <w:lvlText w:val=""/>
      <w:lvlJc w:val="left"/>
      <w:pPr>
        <w:tabs>
          <w:tab w:val="num" w:pos="8538"/>
        </w:tabs>
        <w:ind w:left="8538" w:hanging="360"/>
      </w:pPr>
      <w:rPr>
        <w:rFonts w:ascii="Symbol" w:hAnsi="Symbol" w:hint="default"/>
        <w:sz w:val="20"/>
      </w:rPr>
    </w:lvl>
    <w:lvl w:ilvl="2" w:tentative="1">
      <w:start w:val="1"/>
      <w:numFmt w:val="bullet"/>
      <w:lvlText w:val=""/>
      <w:lvlJc w:val="left"/>
      <w:pPr>
        <w:tabs>
          <w:tab w:val="num" w:pos="9258"/>
        </w:tabs>
        <w:ind w:left="9258" w:hanging="360"/>
      </w:pPr>
      <w:rPr>
        <w:rFonts w:ascii="Symbol" w:hAnsi="Symbol" w:hint="default"/>
        <w:sz w:val="20"/>
      </w:rPr>
    </w:lvl>
    <w:lvl w:ilvl="3" w:tentative="1">
      <w:start w:val="1"/>
      <w:numFmt w:val="bullet"/>
      <w:lvlText w:val=""/>
      <w:lvlJc w:val="left"/>
      <w:pPr>
        <w:tabs>
          <w:tab w:val="num" w:pos="9978"/>
        </w:tabs>
        <w:ind w:left="9978" w:hanging="360"/>
      </w:pPr>
      <w:rPr>
        <w:rFonts w:ascii="Symbol" w:hAnsi="Symbol" w:hint="default"/>
        <w:sz w:val="20"/>
      </w:rPr>
    </w:lvl>
    <w:lvl w:ilvl="4" w:tentative="1">
      <w:start w:val="1"/>
      <w:numFmt w:val="bullet"/>
      <w:lvlText w:val=""/>
      <w:lvlJc w:val="left"/>
      <w:pPr>
        <w:tabs>
          <w:tab w:val="num" w:pos="10698"/>
        </w:tabs>
        <w:ind w:left="10698" w:hanging="360"/>
      </w:pPr>
      <w:rPr>
        <w:rFonts w:ascii="Symbol" w:hAnsi="Symbol" w:hint="default"/>
        <w:sz w:val="20"/>
      </w:rPr>
    </w:lvl>
    <w:lvl w:ilvl="5" w:tentative="1">
      <w:start w:val="1"/>
      <w:numFmt w:val="bullet"/>
      <w:lvlText w:val=""/>
      <w:lvlJc w:val="left"/>
      <w:pPr>
        <w:tabs>
          <w:tab w:val="num" w:pos="11418"/>
        </w:tabs>
        <w:ind w:left="11418" w:hanging="360"/>
      </w:pPr>
      <w:rPr>
        <w:rFonts w:ascii="Symbol" w:hAnsi="Symbol" w:hint="default"/>
        <w:sz w:val="20"/>
      </w:rPr>
    </w:lvl>
    <w:lvl w:ilvl="6" w:tentative="1">
      <w:start w:val="1"/>
      <w:numFmt w:val="bullet"/>
      <w:lvlText w:val=""/>
      <w:lvlJc w:val="left"/>
      <w:pPr>
        <w:tabs>
          <w:tab w:val="num" w:pos="12138"/>
        </w:tabs>
        <w:ind w:left="12138" w:hanging="360"/>
      </w:pPr>
      <w:rPr>
        <w:rFonts w:ascii="Symbol" w:hAnsi="Symbol" w:hint="default"/>
        <w:sz w:val="20"/>
      </w:rPr>
    </w:lvl>
    <w:lvl w:ilvl="7" w:tentative="1">
      <w:start w:val="1"/>
      <w:numFmt w:val="bullet"/>
      <w:lvlText w:val=""/>
      <w:lvlJc w:val="left"/>
      <w:pPr>
        <w:tabs>
          <w:tab w:val="num" w:pos="12858"/>
        </w:tabs>
        <w:ind w:left="12858" w:hanging="360"/>
      </w:pPr>
      <w:rPr>
        <w:rFonts w:ascii="Symbol" w:hAnsi="Symbol" w:hint="default"/>
        <w:sz w:val="20"/>
      </w:rPr>
    </w:lvl>
    <w:lvl w:ilvl="8" w:tentative="1">
      <w:start w:val="1"/>
      <w:numFmt w:val="bullet"/>
      <w:lvlText w:val=""/>
      <w:lvlJc w:val="left"/>
      <w:pPr>
        <w:tabs>
          <w:tab w:val="num" w:pos="13578"/>
        </w:tabs>
        <w:ind w:left="13578" w:hanging="360"/>
      </w:pPr>
      <w:rPr>
        <w:rFonts w:ascii="Symbol" w:hAnsi="Symbol" w:hint="default"/>
        <w:sz w:val="20"/>
      </w:rPr>
    </w:lvl>
  </w:abstractNum>
  <w:abstractNum w:abstractNumId="1" w15:restartNumberingAfterBreak="0">
    <w:nsid w:val="02EE0BAF"/>
    <w:multiLevelType w:val="multilevel"/>
    <w:tmpl w:val="DC5AF28E"/>
    <w:lvl w:ilvl="0">
      <w:start w:val="3"/>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2" w15:restartNumberingAfterBreak="0">
    <w:nsid w:val="20727D05"/>
    <w:multiLevelType w:val="multilevel"/>
    <w:tmpl w:val="EC840828"/>
    <w:lvl w:ilvl="0">
      <w:start w:val="2"/>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3" w15:restartNumberingAfterBreak="0">
    <w:nsid w:val="2A0E16DB"/>
    <w:multiLevelType w:val="hybridMultilevel"/>
    <w:tmpl w:val="0874ACE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B7323AB"/>
    <w:multiLevelType w:val="hybridMultilevel"/>
    <w:tmpl w:val="C7DCCF6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B810B2D"/>
    <w:multiLevelType w:val="multilevel"/>
    <w:tmpl w:val="C1A8D4F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0"/>
        </w:tabs>
        <w:ind w:left="0" w:hanging="360"/>
      </w:pPr>
      <w:rPr>
        <w:rFonts w:ascii="Symbol" w:hAnsi="Symbol" w:hint="default"/>
        <w:sz w:val="20"/>
      </w:rPr>
    </w:lvl>
    <w:lvl w:ilvl="3" w:tentative="1">
      <w:start w:val="1"/>
      <w:numFmt w:val="bullet"/>
      <w:lvlText w:val=""/>
      <w:lvlJc w:val="left"/>
      <w:pPr>
        <w:tabs>
          <w:tab w:val="num" w:pos="720"/>
        </w:tabs>
        <w:ind w:left="720" w:hanging="360"/>
      </w:pPr>
      <w:rPr>
        <w:rFonts w:ascii="Symbol" w:hAnsi="Symbol" w:hint="default"/>
        <w:sz w:val="20"/>
      </w:rPr>
    </w:lvl>
    <w:lvl w:ilvl="4" w:tentative="1">
      <w:start w:val="1"/>
      <w:numFmt w:val="bullet"/>
      <w:lvlText w:val=""/>
      <w:lvlJc w:val="left"/>
      <w:pPr>
        <w:tabs>
          <w:tab w:val="num" w:pos="1440"/>
        </w:tabs>
        <w:ind w:left="1440" w:hanging="360"/>
      </w:pPr>
      <w:rPr>
        <w:rFonts w:ascii="Symbol" w:hAnsi="Symbol" w:hint="default"/>
        <w:sz w:val="20"/>
      </w:rPr>
    </w:lvl>
    <w:lvl w:ilvl="5" w:tentative="1">
      <w:start w:val="1"/>
      <w:numFmt w:val="bullet"/>
      <w:lvlText w:val=""/>
      <w:lvlJc w:val="left"/>
      <w:pPr>
        <w:tabs>
          <w:tab w:val="num" w:pos="2160"/>
        </w:tabs>
        <w:ind w:left="2160" w:hanging="360"/>
      </w:pPr>
      <w:rPr>
        <w:rFonts w:ascii="Symbol" w:hAnsi="Symbol" w:hint="default"/>
        <w:sz w:val="20"/>
      </w:rPr>
    </w:lvl>
    <w:lvl w:ilvl="6" w:tentative="1">
      <w:start w:val="1"/>
      <w:numFmt w:val="bullet"/>
      <w:lvlText w:val=""/>
      <w:lvlJc w:val="left"/>
      <w:pPr>
        <w:tabs>
          <w:tab w:val="num" w:pos="2880"/>
        </w:tabs>
        <w:ind w:left="2880" w:hanging="360"/>
      </w:pPr>
      <w:rPr>
        <w:rFonts w:ascii="Symbol" w:hAnsi="Symbol" w:hint="default"/>
        <w:sz w:val="20"/>
      </w:rPr>
    </w:lvl>
    <w:lvl w:ilvl="7" w:tentative="1">
      <w:start w:val="1"/>
      <w:numFmt w:val="bullet"/>
      <w:lvlText w:val=""/>
      <w:lvlJc w:val="left"/>
      <w:pPr>
        <w:tabs>
          <w:tab w:val="num" w:pos="3600"/>
        </w:tabs>
        <w:ind w:left="3600" w:hanging="360"/>
      </w:pPr>
      <w:rPr>
        <w:rFonts w:ascii="Symbol" w:hAnsi="Symbol" w:hint="default"/>
        <w:sz w:val="20"/>
      </w:rPr>
    </w:lvl>
    <w:lvl w:ilvl="8" w:tentative="1">
      <w:start w:val="1"/>
      <w:numFmt w:val="bullet"/>
      <w:lvlText w:val=""/>
      <w:lvlJc w:val="left"/>
      <w:pPr>
        <w:tabs>
          <w:tab w:val="num" w:pos="4320"/>
        </w:tabs>
        <w:ind w:left="4320" w:hanging="360"/>
      </w:pPr>
      <w:rPr>
        <w:rFonts w:ascii="Symbol" w:hAnsi="Symbol" w:hint="default"/>
        <w:sz w:val="20"/>
      </w:rPr>
    </w:lvl>
  </w:abstractNum>
  <w:abstractNum w:abstractNumId="6" w15:restartNumberingAfterBreak="0">
    <w:nsid w:val="40BE6CBB"/>
    <w:multiLevelType w:val="multilevel"/>
    <w:tmpl w:val="0BBC9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1445CF8"/>
    <w:multiLevelType w:val="hybridMultilevel"/>
    <w:tmpl w:val="895E3FA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52930F27"/>
    <w:multiLevelType w:val="multilevel"/>
    <w:tmpl w:val="0344C002"/>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9" w15:restartNumberingAfterBreak="0">
    <w:nsid w:val="68E61853"/>
    <w:multiLevelType w:val="multilevel"/>
    <w:tmpl w:val="BBE4C77E"/>
    <w:lvl w:ilvl="0">
      <w:start w:val="2"/>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10" w15:restartNumberingAfterBreak="0">
    <w:nsid w:val="722F3270"/>
    <w:multiLevelType w:val="multilevel"/>
    <w:tmpl w:val="3D58A8AA"/>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num w:numId="1">
    <w:abstractNumId w:val="8"/>
  </w:num>
  <w:num w:numId="2">
    <w:abstractNumId w:val="2"/>
  </w:num>
  <w:num w:numId="3">
    <w:abstractNumId w:val="1"/>
  </w:num>
  <w:num w:numId="4">
    <w:abstractNumId w:val="0"/>
  </w:num>
  <w:num w:numId="5">
    <w:abstractNumId w:val="3"/>
  </w:num>
  <w:num w:numId="6">
    <w:abstractNumId w:val="10"/>
  </w:num>
  <w:num w:numId="7">
    <w:abstractNumId w:val="5"/>
  </w:num>
  <w:num w:numId="8">
    <w:abstractNumId w:val="9"/>
  </w:num>
  <w:num w:numId="9">
    <w:abstractNumId w:val="6"/>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681"/>
    <w:rsid w:val="000C2681"/>
    <w:rsid w:val="0043463E"/>
    <w:rsid w:val="00880DEB"/>
    <w:rsid w:val="00B51D03"/>
    <w:rsid w:val="00CC28CF"/>
    <w:rsid w:val="00CC4C7D"/>
    <w:rsid w:val="00CD605B"/>
    <w:rsid w:val="00CF20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28400"/>
  <w15:chartTrackingRefBased/>
  <w15:docId w15:val="{806A827E-6C36-46A8-A4BA-5F90C7408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43463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43463E"/>
  </w:style>
  <w:style w:type="character" w:customStyle="1" w:styleId="eop">
    <w:name w:val="eop"/>
    <w:basedOn w:val="DefaultParagraphFont"/>
    <w:rsid w:val="0043463E"/>
  </w:style>
  <w:style w:type="character" w:customStyle="1" w:styleId="superscript">
    <w:name w:val="superscript"/>
    <w:basedOn w:val="DefaultParagraphFont"/>
    <w:rsid w:val="0043463E"/>
  </w:style>
  <w:style w:type="character" w:styleId="Hyperlink">
    <w:name w:val="Hyperlink"/>
    <w:basedOn w:val="DefaultParagraphFont"/>
    <w:uiPriority w:val="99"/>
    <w:unhideWhenUsed/>
    <w:rsid w:val="0043463E"/>
    <w:rPr>
      <w:color w:val="0563C1" w:themeColor="hyperlink"/>
      <w:u w:val="single"/>
    </w:rPr>
  </w:style>
  <w:style w:type="character" w:styleId="UnresolvedMention">
    <w:name w:val="Unresolved Mention"/>
    <w:basedOn w:val="DefaultParagraphFont"/>
    <w:uiPriority w:val="99"/>
    <w:semiHidden/>
    <w:unhideWhenUsed/>
    <w:rsid w:val="0043463E"/>
    <w:rPr>
      <w:color w:val="605E5C"/>
      <w:shd w:val="clear" w:color="auto" w:fill="E1DFDD"/>
    </w:rPr>
  </w:style>
  <w:style w:type="paragraph" w:styleId="ListParagraph">
    <w:name w:val="List Paragraph"/>
    <w:basedOn w:val="Normal"/>
    <w:uiPriority w:val="34"/>
    <w:qFormat/>
    <w:rsid w:val="00CF20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680796">
      <w:bodyDiv w:val="1"/>
      <w:marLeft w:val="0"/>
      <w:marRight w:val="0"/>
      <w:marTop w:val="0"/>
      <w:marBottom w:val="0"/>
      <w:divBdr>
        <w:top w:val="none" w:sz="0" w:space="0" w:color="auto"/>
        <w:left w:val="none" w:sz="0" w:space="0" w:color="auto"/>
        <w:bottom w:val="none" w:sz="0" w:space="0" w:color="auto"/>
        <w:right w:val="none" w:sz="0" w:space="0" w:color="auto"/>
      </w:divBdr>
      <w:divsChild>
        <w:div w:id="1341464400">
          <w:marLeft w:val="0"/>
          <w:marRight w:val="0"/>
          <w:marTop w:val="0"/>
          <w:marBottom w:val="0"/>
          <w:divBdr>
            <w:top w:val="none" w:sz="0" w:space="0" w:color="auto"/>
            <w:left w:val="none" w:sz="0" w:space="0" w:color="auto"/>
            <w:bottom w:val="none" w:sz="0" w:space="0" w:color="auto"/>
            <w:right w:val="none" w:sz="0" w:space="0" w:color="auto"/>
          </w:divBdr>
        </w:div>
        <w:div w:id="1603952110">
          <w:marLeft w:val="0"/>
          <w:marRight w:val="0"/>
          <w:marTop w:val="0"/>
          <w:marBottom w:val="0"/>
          <w:divBdr>
            <w:top w:val="none" w:sz="0" w:space="0" w:color="auto"/>
            <w:left w:val="none" w:sz="0" w:space="0" w:color="auto"/>
            <w:bottom w:val="none" w:sz="0" w:space="0" w:color="auto"/>
            <w:right w:val="none" w:sz="0" w:space="0" w:color="auto"/>
          </w:divBdr>
        </w:div>
        <w:div w:id="894393425">
          <w:marLeft w:val="0"/>
          <w:marRight w:val="0"/>
          <w:marTop w:val="0"/>
          <w:marBottom w:val="0"/>
          <w:divBdr>
            <w:top w:val="none" w:sz="0" w:space="0" w:color="auto"/>
            <w:left w:val="none" w:sz="0" w:space="0" w:color="auto"/>
            <w:bottom w:val="none" w:sz="0" w:space="0" w:color="auto"/>
            <w:right w:val="none" w:sz="0" w:space="0" w:color="auto"/>
          </w:divBdr>
        </w:div>
        <w:div w:id="942687068">
          <w:marLeft w:val="0"/>
          <w:marRight w:val="0"/>
          <w:marTop w:val="0"/>
          <w:marBottom w:val="0"/>
          <w:divBdr>
            <w:top w:val="none" w:sz="0" w:space="0" w:color="auto"/>
            <w:left w:val="none" w:sz="0" w:space="0" w:color="auto"/>
            <w:bottom w:val="none" w:sz="0" w:space="0" w:color="auto"/>
            <w:right w:val="none" w:sz="0" w:space="0" w:color="auto"/>
          </w:divBdr>
        </w:div>
        <w:div w:id="1146043091">
          <w:marLeft w:val="0"/>
          <w:marRight w:val="0"/>
          <w:marTop w:val="0"/>
          <w:marBottom w:val="0"/>
          <w:divBdr>
            <w:top w:val="none" w:sz="0" w:space="0" w:color="auto"/>
            <w:left w:val="none" w:sz="0" w:space="0" w:color="auto"/>
            <w:bottom w:val="none" w:sz="0" w:space="0" w:color="auto"/>
            <w:right w:val="none" w:sz="0" w:space="0" w:color="auto"/>
          </w:divBdr>
        </w:div>
        <w:div w:id="924656905">
          <w:marLeft w:val="0"/>
          <w:marRight w:val="0"/>
          <w:marTop w:val="0"/>
          <w:marBottom w:val="0"/>
          <w:divBdr>
            <w:top w:val="none" w:sz="0" w:space="0" w:color="auto"/>
            <w:left w:val="none" w:sz="0" w:space="0" w:color="auto"/>
            <w:bottom w:val="none" w:sz="0" w:space="0" w:color="auto"/>
            <w:right w:val="none" w:sz="0" w:space="0" w:color="auto"/>
          </w:divBdr>
        </w:div>
        <w:div w:id="1464614623">
          <w:marLeft w:val="0"/>
          <w:marRight w:val="0"/>
          <w:marTop w:val="0"/>
          <w:marBottom w:val="0"/>
          <w:divBdr>
            <w:top w:val="none" w:sz="0" w:space="0" w:color="auto"/>
            <w:left w:val="none" w:sz="0" w:space="0" w:color="auto"/>
            <w:bottom w:val="none" w:sz="0" w:space="0" w:color="auto"/>
            <w:right w:val="none" w:sz="0" w:space="0" w:color="auto"/>
          </w:divBdr>
        </w:div>
        <w:div w:id="1660228086">
          <w:marLeft w:val="0"/>
          <w:marRight w:val="0"/>
          <w:marTop w:val="0"/>
          <w:marBottom w:val="0"/>
          <w:divBdr>
            <w:top w:val="none" w:sz="0" w:space="0" w:color="auto"/>
            <w:left w:val="none" w:sz="0" w:space="0" w:color="auto"/>
            <w:bottom w:val="none" w:sz="0" w:space="0" w:color="auto"/>
            <w:right w:val="none" w:sz="0" w:space="0" w:color="auto"/>
          </w:divBdr>
        </w:div>
        <w:div w:id="581599036">
          <w:marLeft w:val="0"/>
          <w:marRight w:val="0"/>
          <w:marTop w:val="0"/>
          <w:marBottom w:val="0"/>
          <w:divBdr>
            <w:top w:val="none" w:sz="0" w:space="0" w:color="auto"/>
            <w:left w:val="none" w:sz="0" w:space="0" w:color="auto"/>
            <w:bottom w:val="none" w:sz="0" w:space="0" w:color="auto"/>
            <w:right w:val="none" w:sz="0" w:space="0" w:color="auto"/>
          </w:divBdr>
        </w:div>
        <w:div w:id="1052657419">
          <w:marLeft w:val="0"/>
          <w:marRight w:val="0"/>
          <w:marTop w:val="0"/>
          <w:marBottom w:val="0"/>
          <w:divBdr>
            <w:top w:val="none" w:sz="0" w:space="0" w:color="auto"/>
            <w:left w:val="none" w:sz="0" w:space="0" w:color="auto"/>
            <w:bottom w:val="none" w:sz="0" w:space="0" w:color="auto"/>
            <w:right w:val="none" w:sz="0" w:space="0" w:color="auto"/>
          </w:divBdr>
        </w:div>
        <w:div w:id="1628048058">
          <w:marLeft w:val="0"/>
          <w:marRight w:val="0"/>
          <w:marTop w:val="0"/>
          <w:marBottom w:val="0"/>
          <w:divBdr>
            <w:top w:val="none" w:sz="0" w:space="0" w:color="auto"/>
            <w:left w:val="none" w:sz="0" w:space="0" w:color="auto"/>
            <w:bottom w:val="none" w:sz="0" w:space="0" w:color="auto"/>
            <w:right w:val="none" w:sz="0" w:space="0" w:color="auto"/>
          </w:divBdr>
        </w:div>
      </w:divsChild>
    </w:div>
    <w:div w:id="823818513">
      <w:bodyDiv w:val="1"/>
      <w:marLeft w:val="0"/>
      <w:marRight w:val="0"/>
      <w:marTop w:val="0"/>
      <w:marBottom w:val="0"/>
      <w:divBdr>
        <w:top w:val="none" w:sz="0" w:space="0" w:color="auto"/>
        <w:left w:val="none" w:sz="0" w:space="0" w:color="auto"/>
        <w:bottom w:val="none" w:sz="0" w:space="0" w:color="auto"/>
        <w:right w:val="none" w:sz="0" w:space="0" w:color="auto"/>
      </w:divBdr>
      <w:divsChild>
        <w:div w:id="1362438026">
          <w:marLeft w:val="0"/>
          <w:marRight w:val="0"/>
          <w:marTop w:val="0"/>
          <w:marBottom w:val="0"/>
          <w:divBdr>
            <w:top w:val="none" w:sz="0" w:space="0" w:color="auto"/>
            <w:left w:val="none" w:sz="0" w:space="0" w:color="auto"/>
            <w:bottom w:val="none" w:sz="0" w:space="0" w:color="auto"/>
            <w:right w:val="none" w:sz="0" w:space="0" w:color="auto"/>
          </w:divBdr>
          <w:divsChild>
            <w:div w:id="863982630">
              <w:marLeft w:val="0"/>
              <w:marRight w:val="0"/>
              <w:marTop w:val="0"/>
              <w:marBottom w:val="0"/>
              <w:divBdr>
                <w:top w:val="none" w:sz="0" w:space="0" w:color="auto"/>
                <w:left w:val="none" w:sz="0" w:space="0" w:color="auto"/>
                <w:bottom w:val="none" w:sz="0" w:space="0" w:color="auto"/>
                <w:right w:val="none" w:sz="0" w:space="0" w:color="auto"/>
              </w:divBdr>
            </w:div>
          </w:divsChild>
        </w:div>
        <w:div w:id="1515923058">
          <w:marLeft w:val="0"/>
          <w:marRight w:val="0"/>
          <w:marTop w:val="0"/>
          <w:marBottom w:val="0"/>
          <w:divBdr>
            <w:top w:val="none" w:sz="0" w:space="0" w:color="auto"/>
            <w:left w:val="none" w:sz="0" w:space="0" w:color="auto"/>
            <w:bottom w:val="none" w:sz="0" w:space="0" w:color="auto"/>
            <w:right w:val="none" w:sz="0" w:space="0" w:color="auto"/>
          </w:divBdr>
          <w:divsChild>
            <w:div w:id="1993024190">
              <w:marLeft w:val="0"/>
              <w:marRight w:val="0"/>
              <w:marTop w:val="0"/>
              <w:marBottom w:val="0"/>
              <w:divBdr>
                <w:top w:val="none" w:sz="0" w:space="0" w:color="auto"/>
                <w:left w:val="none" w:sz="0" w:space="0" w:color="auto"/>
                <w:bottom w:val="none" w:sz="0" w:space="0" w:color="auto"/>
                <w:right w:val="none" w:sz="0" w:space="0" w:color="auto"/>
              </w:divBdr>
            </w:div>
          </w:divsChild>
        </w:div>
        <w:div w:id="29694414">
          <w:marLeft w:val="0"/>
          <w:marRight w:val="0"/>
          <w:marTop w:val="0"/>
          <w:marBottom w:val="0"/>
          <w:divBdr>
            <w:top w:val="none" w:sz="0" w:space="0" w:color="auto"/>
            <w:left w:val="none" w:sz="0" w:space="0" w:color="auto"/>
            <w:bottom w:val="none" w:sz="0" w:space="0" w:color="auto"/>
            <w:right w:val="none" w:sz="0" w:space="0" w:color="auto"/>
          </w:divBdr>
          <w:divsChild>
            <w:div w:id="130366928">
              <w:marLeft w:val="0"/>
              <w:marRight w:val="0"/>
              <w:marTop w:val="0"/>
              <w:marBottom w:val="0"/>
              <w:divBdr>
                <w:top w:val="none" w:sz="0" w:space="0" w:color="auto"/>
                <w:left w:val="none" w:sz="0" w:space="0" w:color="auto"/>
                <w:bottom w:val="none" w:sz="0" w:space="0" w:color="auto"/>
                <w:right w:val="none" w:sz="0" w:space="0" w:color="auto"/>
              </w:divBdr>
            </w:div>
          </w:divsChild>
        </w:div>
        <w:div w:id="86705168">
          <w:marLeft w:val="0"/>
          <w:marRight w:val="0"/>
          <w:marTop w:val="0"/>
          <w:marBottom w:val="0"/>
          <w:divBdr>
            <w:top w:val="none" w:sz="0" w:space="0" w:color="auto"/>
            <w:left w:val="none" w:sz="0" w:space="0" w:color="auto"/>
            <w:bottom w:val="none" w:sz="0" w:space="0" w:color="auto"/>
            <w:right w:val="none" w:sz="0" w:space="0" w:color="auto"/>
          </w:divBdr>
          <w:divsChild>
            <w:div w:id="36398210">
              <w:marLeft w:val="0"/>
              <w:marRight w:val="0"/>
              <w:marTop w:val="0"/>
              <w:marBottom w:val="0"/>
              <w:divBdr>
                <w:top w:val="none" w:sz="0" w:space="0" w:color="auto"/>
                <w:left w:val="none" w:sz="0" w:space="0" w:color="auto"/>
                <w:bottom w:val="none" w:sz="0" w:space="0" w:color="auto"/>
                <w:right w:val="none" w:sz="0" w:space="0" w:color="auto"/>
              </w:divBdr>
            </w:div>
          </w:divsChild>
        </w:div>
        <w:div w:id="524565484">
          <w:marLeft w:val="0"/>
          <w:marRight w:val="0"/>
          <w:marTop w:val="0"/>
          <w:marBottom w:val="0"/>
          <w:divBdr>
            <w:top w:val="none" w:sz="0" w:space="0" w:color="auto"/>
            <w:left w:val="none" w:sz="0" w:space="0" w:color="auto"/>
            <w:bottom w:val="none" w:sz="0" w:space="0" w:color="auto"/>
            <w:right w:val="none" w:sz="0" w:space="0" w:color="auto"/>
          </w:divBdr>
          <w:divsChild>
            <w:div w:id="1702394718">
              <w:marLeft w:val="0"/>
              <w:marRight w:val="0"/>
              <w:marTop w:val="0"/>
              <w:marBottom w:val="0"/>
              <w:divBdr>
                <w:top w:val="none" w:sz="0" w:space="0" w:color="auto"/>
                <w:left w:val="none" w:sz="0" w:space="0" w:color="auto"/>
                <w:bottom w:val="none" w:sz="0" w:space="0" w:color="auto"/>
                <w:right w:val="none" w:sz="0" w:space="0" w:color="auto"/>
              </w:divBdr>
            </w:div>
            <w:div w:id="2053650616">
              <w:marLeft w:val="0"/>
              <w:marRight w:val="0"/>
              <w:marTop w:val="0"/>
              <w:marBottom w:val="0"/>
              <w:divBdr>
                <w:top w:val="none" w:sz="0" w:space="0" w:color="auto"/>
                <w:left w:val="none" w:sz="0" w:space="0" w:color="auto"/>
                <w:bottom w:val="none" w:sz="0" w:space="0" w:color="auto"/>
                <w:right w:val="none" w:sz="0" w:space="0" w:color="auto"/>
              </w:divBdr>
            </w:div>
            <w:div w:id="261887764">
              <w:marLeft w:val="0"/>
              <w:marRight w:val="0"/>
              <w:marTop w:val="0"/>
              <w:marBottom w:val="0"/>
              <w:divBdr>
                <w:top w:val="none" w:sz="0" w:space="0" w:color="auto"/>
                <w:left w:val="none" w:sz="0" w:space="0" w:color="auto"/>
                <w:bottom w:val="none" w:sz="0" w:space="0" w:color="auto"/>
                <w:right w:val="none" w:sz="0" w:space="0" w:color="auto"/>
              </w:divBdr>
            </w:div>
            <w:div w:id="2051369666">
              <w:marLeft w:val="0"/>
              <w:marRight w:val="0"/>
              <w:marTop w:val="0"/>
              <w:marBottom w:val="0"/>
              <w:divBdr>
                <w:top w:val="none" w:sz="0" w:space="0" w:color="auto"/>
                <w:left w:val="none" w:sz="0" w:space="0" w:color="auto"/>
                <w:bottom w:val="none" w:sz="0" w:space="0" w:color="auto"/>
                <w:right w:val="none" w:sz="0" w:space="0" w:color="auto"/>
              </w:divBdr>
            </w:div>
            <w:div w:id="1866013644">
              <w:marLeft w:val="0"/>
              <w:marRight w:val="0"/>
              <w:marTop w:val="0"/>
              <w:marBottom w:val="0"/>
              <w:divBdr>
                <w:top w:val="none" w:sz="0" w:space="0" w:color="auto"/>
                <w:left w:val="none" w:sz="0" w:space="0" w:color="auto"/>
                <w:bottom w:val="none" w:sz="0" w:space="0" w:color="auto"/>
                <w:right w:val="none" w:sz="0" w:space="0" w:color="auto"/>
              </w:divBdr>
            </w:div>
            <w:div w:id="2132019025">
              <w:marLeft w:val="0"/>
              <w:marRight w:val="0"/>
              <w:marTop w:val="0"/>
              <w:marBottom w:val="0"/>
              <w:divBdr>
                <w:top w:val="none" w:sz="0" w:space="0" w:color="auto"/>
                <w:left w:val="none" w:sz="0" w:space="0" w:color="auto"/>
                <w:bottom w:val="none" w:sz="0" w:space="0" w:color="auto"/>
                <w:right w:val="none" w:sz="0" w:space="0" w:color="auto"/>
              </w:divBdr>
            </w:div>
            <w:div w:id="888423845">
              <w:marLeft w:val="0"/>
              <w:marRight w:val="0"/>
              <w:marTop w:val="0"/>
              <w:marBottom w:val="0"/>
              <w:divBdr>
                <w:top w:val="none" w:sz="0" w:space="0" w:color="auto"/>
                <w:left w:val="none" w:sz="0" w:space="0" w:color="auto"/>
                <w:bottom w:val="none" w:sz="0" w:space="0" w:color="auto"/>
                <w:right w:val="none" w:sz="0" w:space="0" w:color="auto"/>
              </w:divBdr>
            </w:div>
            <w:div w:id="1431050956">
              <w:marLeft w:val="0"/>
              <w:marRight w:val="0"/>
              <w:marTop w:val="0"/>
              <w:marBottom w:val="0"/>
              <w:divBdr>
                <w:top w:val="none" w:sz="0" w:space="0" w:color="auto"/>
                <w:left w:val="none" w:sz="0" w:space="0" w:color="auto"/>
                <w:bottom w:val="none" w:sz="0" w:space="0" w:color="auto"/>
                <w:right w:val="none" w:sz="0" w:space="0" w:color="auto"/>
              </w:divBdr>
            </w:div>
            <w:div w:id="269362114">
              <w:marLeft w:val="0"/>
              <w:marRight w:val="0"/>
              <w:marTop w:val="0"/>
              <w:marBottom w:val="0"/>
              <w:divBdr>
                <w:top w:val="none" w:sz="0" w:space="0" w:color="auto"/>
                <w:left w:val="none" w:sz="0" w:space="0" w:color="auto"/>
                <w:bottom w:val="none" w:sz="0" w:space="0" w:color="auto"/>
                <w:right w:val="none" w:sz="0" w:space="0" w:color="auto"/>
              </w:divBdr>
            </w:div>
            <w:div w:id="1961495621">
              <w:marLeft w:val="0"/>
              <w:marRight w:val="0"/>
              <w:marTop w:val="0"/>
              <w:marBottom w:val="0"/>
              <w:divBdr>
                <w:top w:val="none" w:sz="0" w:space="0" w:color="auto"/>
                <w:left w:val="none" w:sz="0" w:space="0" w:color="auto"/>
                <w:bottom w:val="none" w:sz="0" w:space="0" w:color="auto"/>
                <w:right w:val="none" w:sz="0" w:space="0" w:color="auto"/>
              </w:divBdr>
            </w:div>
            <w:div w:id="1188831367">
              <w:marLeft w:val="0"/>
              <w:marRight w:val="0"/>
              <w:marTop w:val="0"/>
              <w:marBottom w:val="0"/>
              <w:divBdr>
                <w:top w:val="none" w:sz="0" w:space="0" w:color="auto"/>
                <w:left w:val="none" w:sz="0" w:space="0" w:color="auto"/>
                <w:bottom w:val="none" w:sz="0" w:space="0" w:color="auto"/>
                <w:right w:val="none" w:sz="0" w:space="0" w:color="auto"/>
              </w:divBdr>
            </w:div>
            <w:div w:id="1719040143">
              <w:marLeft w:val="0"/>
              <w:marRight w:val="0"/>
              <w:marTop w:val="0"/>
              <w:marBottom w:val="0"/>
              <w:divBdr>
                <w:top w:val="none" w:sz="0" w:space="0" w:color="auto"/>
                <w:left w:val="none" w:sz="0" w:space="0" w:color="auto"/>
                <w:bottom w:val="none" w:sz="0" w:space="0" w:color="auto"/>
                <w:right w:val="none" w:sz="0" w:space="0" w:color="auto"/>
              </w:divBdr>
            </w:div>
            <w:div w:id="2015263425">
              <w:marLeft w:val="0"/>
              <w:marRight w:val="0"/>
              <w:marTop w:val="0"/>
              <w:marBottom w:val="0"/>
              <w:divBdr>
                <w:top w:val="none" w:sz="0" w:space="0" w:color="auto"/>
                <w:left w:val="none" w:sz="0" w:space="0" w:color="auto"/>
                <w:bottom w:val="none" w:sz="0" w:space="0" w:color="auto"/>
                <w:right w:val="none" w:sz="0" w:space="0" w:color="auto"/>
              </w:divBdr>
            </w:div>
            <w:div w:id="1801652058">
              <w:marLeft w:val="0"/>
              <w:marRight w:val="0"/>
              <w:marTop w:val="0"/>
              <w:marBottom w:val="0"/>
              <w:divBdr>
                <w:top w:val="none" w:sz="0" w:space="0" w:color="auto"/>
                <w:left w:val="none" w:sz="0" w:space="0" w:color="auto"/>
                <w:bottom w:val="none" w:sz="0" w:space="0" w:color="auto"/>
                <w:right w:val="none" w:sz="0" w:space="0" w:color="auto"/>
              </w:divBdr>
            </w:div>
            <w:div w:id="329021831">
              <w:marLeft w:val="0"/>
              <w:marRight w:val="0"/>
              <w:marTop w:val="0"/>
              <w:marBottom w:val="0"/>
              <w:divBdr>
                <w:top w:val="none" w:sz="0" w:space="0" w:color="auto"/>
                <w:left w:val="none" w:sz="0" w:space="0" w:color="auto"/>
                <w:bottom w:val="none" w:sz="0" w:space="0" w:color="auto"/>
                <w:right w:val="none" w:sz="0" w:space="0" w:color="auto"/>
              </w:divBdr>
            </w:div>
            <w:div w:id="1304042065">
              <w:marLeft w:val="0"/>
              <w:marRight w:val="0"/>
              <w:marTop w:val="0"/>
              <w:marBottom w:val="0"/>
              <w:divBdr>
                <w:top w:val="none" w:sz="0" w:space="0" w:color="auto"/>
                <w:left w:val="none" w:sz="0" w:space="0" w:color="auto"/>
                <w:bottom w:val="none" w:sz="0" w:space="0" w:color="auto"/>
                <w:right w:val="none" w:sz="0" w:space="0" w:color="auto"/>
              </w:divBdr>
            </w:div>
          </w:divsChild>
        </w:div>
        <w:div w:id="1964530703">
          <w:marLeft w:val="0"/>
          <w:marRight w:val="0"/>
          <w:marTop w:val="0"/>
          <w:marBottom w:val="0"/>
          <w:divBdr>
            <w:top w:val="none" w:sz="0" w:space="0" w:color="auto"/>
            <w:left w:val="none" w:sz="0" w:space="0" w:color="auto"/>
            <w:bottom w:val="none" w:sz="0" w:space="0" w:color="auto"/>
            <w:right w:val="none" w:sz="0" w:space="0" w:color="auto"/>
          </w:divBdr>
          <w:divsChild>
            <w:div w:id="2025012345">
              <w:marLeft w:val="0"/>
              <w:marRight w:val="0"/>
              <w:marTop w:val="0"/>
              <w:marBottom w:val="0"/>
              <w:divBdr>
                <w:top w:val="none" w:sz="0" w:space="0" w:color="auto"/>
                <w:left w:val="none" w:sz="0" w:space="0" w:color="auto"/>
                <w:bottom w:val="none" w:sz="0" w:space="0" w:color="auto"/>
                <w:right w:val="none" w:sz="0" w:space="0" w:color="auto"/>
              </w:divBdr>
            </w:div>
          </w:divsChild>
        </w:div>
        <w:div w:id="1013259496">
          <w:marLeft w:val="0"/>
          <w:marRight w:val="0"/>
          <w:marTop w:val="0"/>
          <w:marBottom w:val="0"/>
          <w:divBdr>
            <w:top w:val="none" w:sz="0" w:space="0" w:color="auto"/>
            <w:left w:val="none" w:sz="0" w:space="0" w:color="auto"/>
            <w:bottom w:val="none" w:sz="0" w:space="0" w:color="auto"/>
            <w:right w:val="none" w:sz="0" w:space="0" w:color="auto"/>
          </w:divBdr>
          <w:divsChild>
            <w:div w:id="148480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s://www.gov.uk/government/publications/national-security-and-investment-act-prepare-for-new-rules-about-acquisitions"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6D0DFEE2B924BB3DA44ADB5FFCB77" ma:contentTypeVersion="18089" ma:contentTypeDescription="Create a new document." ma:contentTypeScope="" ma:versionID="4b9830985b6a21ce036f4d1788c58e3b">
  <xsd:schema xmlns:xsd="http://www.w3.org/2001/XMLSchema" xmlns:xs="http://www.w3.org/2001/XMLSchema" xmlns:p="http://schemas.microsoft.com/office/2006/metadata/properties" xmlns:ns1="http://schemas.microsoft.com/sharepoint/v3" xmlns:ns2="b67a7830-db79-4a49-bf27-2aff92a2201a" xmlns:ns3="b413c3fd-5a3b-4239-b985-69032e371c04" xmlns:ns4="0063f72e-ace3-48fb-9c1f-5b513408b31f" xmlns:ns5="a8f60570-4bd3-4f2b-950b-a996de8ab151" xmlns:ns6="a172083e-e40c-4314-b43a-827352a1ed2c" xmlns:ns7="c963a4c1-1bb4-49f2-a011-9c776a7eed2a" xmlns:ns8="236339c9-72aa-4b4d-b629-41cb8f8725a3" xmlns:ns9="http://schemas.microsoft.com/sharepoint/v4" targetNamespace="http://schemas.microsoft.com/office/2006/metadata/properties" ma:root="true" ma:fieldsID="cf05c3877e02e1d612d113e719a36f21" ns1:_="" ns2:_="" ns3:_="" ns4:_="" ns5:_="" ns6:_="" ns7:_="" ns8:_="" ns9:_="">
    <xsd:import namespace="http://schemas.microsoft.com/sharepoint/v3"/>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c963a4c1-1bb4-49f2-a011-9c776a7eed2a"/>
    <xsd:import namespace="236339c9-72aa-4b4d-b629-41cb8f8725a3"/>
    <xsd:import namespace="http://schemas.microsoft.com/sharepoint/v4"/>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4:SharedWithUsers" minOccurs="0"/>
                <xsd:element ref="ns4:SharedWithDetails" minOccurs="0"/>
                <xsd:element ref="ns7:m975189f4ba442ecbf67d4147307b177" minOccurs="0"/>
                <xsd:element ref="ns4:TaxCatchAll" minOccurs="0"/>
                <xsd:element ref="ns4:TaxCatchAllLabel" minOccurs="0"/>
                <xsd:element ref="ns4:_dlc_DocId" minOccurs="0"/>
                <xsd:element ref="ns8:MediaServiceMetadata" minOccurs="0"/>
                <xsd:element ref="ns8:MediaServiceFastMetadata" minOccurs="0"/>
                <xsd:element ref="ns8:MediaServiceAutoTags" minOccurs="0"/>
                <xsd:element ref="ns8:MediaServiceOCR" minOccurs="0"/>
                <xsd:element ref="ns8:CIRRUSPreviousRetentionPolicy" minOccurs="0"/>
                <xsd:element ref="ns8:LegacyCaseReferenceNumber" minOccurs="0"/>
                <xsd:element ref="ns8:MediaServiceEventHashCode" minOccurs="0"/>
                <xsd:element ref="ns8:MediaServiceGenerationTime" minOccurs="0"/>
                <xsd:element ref="ns9:IconOverlay" minOccurs="0"/>
                <xsd:element ref="ns1:_vti_ItemDeclaredRecord" minOccurs="0"/>
                <xsd:element ref="ns1:_vti_ItemHoldRecordStatus" minOccurs="0"/>
                <xsd:element ref="ns8:MediaServiceDateTaken" minOccurs="0"/>
                <xsd:element ref="ns8:Folder" minOccurs="0"/>
                <xsd:element ref="ns8:MediaServiceAutoKeyPoints" minOccurs="0"/>
                <xsd:element ref="ns8:MediaServiceKeyPoints" minOccurs="0"/>
                <xsd:element ref="ns8: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76" nillable="true" ma:displayName="Declared Record" ma:hidden="true" ma:internalName="_vti_ItemDeclaredRecord" ma:readOnly="true">
      <xsd:simpleType>
        <xsd:restriction base="dms:DateTime"/>
      </xsd:simpleType>
    </xsd:element>
    <xsd:element name="_vti_ItemHoldRecordStatus" ma:index="7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SharedWithUsers" ma:index="5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internalName="SharedWithDetails" ma:readOnly="true">
      <xsd:simpleType>
        <xsd:restriction base="dms:Note">
          <xsd:maxLength value="255"/>
        </xsd:restriction>
      </xsd:simpleType>
    </xsd:element>
    <xsd:element name="TaxCatchAll" ma:index="63" nillable="true" ma:displayName="Taxonomy Catch All Colum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4" nillable="true" ma:displayName="Taxonomy Catch All Column1"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5"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62"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6339c9-72aa-4b4d-b629-41cb8f8725a3" elementFormDefault="qualified">
    <xsd:import namespace="http://schemas.microsoft.com/office/2006/documentManagement/types"/>
    <xsd:import namespace="http://schemas.microsoft.com/office/infopath/2007/PartnerControls"/>
    <xsd:element name="MediaServiceMetadata" ma:index="66" nillable="true" ma:displayName="MediaServiceMetadata" ma:hidden="true" ma:internalName="MediaServiceMetadata" ma:readOnly="true">
      <xsd:simpleType>
        <xsd:restriction base="dms:Note"/>
      </xsd:simpleType>
    </xsd:element>
    <xsd:element name="MediaServiceFastMetadata" ma:index="67" nillable="true" ma:displayName="MediaServiceFastMetadata" ma:hidden="true" ma:internalName="MediaServiceFastMetadata" ma:readOnly="true">
      <xsd:simpleType>
        <xsd:restriction base="dms:Note"/>
      </xsd:simpleType>
    </xsd:element>
    <xsd:element name="MediaServiceAutoTags" ma:index="68" nillable="true" ma:displayName="MediaServiceAutoTags" ma:internalName="MediaServiceAutoTags" ma:readOnly="true">
      <xsd:simpleType>
        <xsd:restriction base="dms:Text"/>
      </xsd:simpleType>
    </xsd:element>
    <xsd:element name="MediaServiceOCR" ma:index="69" nillable="true" ma:displayName="MediaServiceOCR" ma:internalName="MediaServiceOCR" ma:readOnly="true">
      <xsd:simpleType>
        <xsd:restriction base="dms:Note">
          <xsd:maxLength value="255"/>
        </xsd:restriction>
      </xsd:simpleType>
    </xsd:element>
    <xsd:element name="CIRRUSPreviousRetentionPolicy" ma:index="71" nillable="true" ma:displayName="Previous Retention Policy" ma:internalName="CIRRUSPreviousRetentionPolicy">
      <xsd:simpleType>
        <xsd:restriction base="dms:Note">
          <xsd:maxLength value="255"/>
        </xsd:restriction>
      </xsd:simpleType>
    </xsd:element>
    <xsd:element name="LegacyCaseReferenceNumber" ma:index="72" nillable="true" ma:displayName="Legacy Case Reference Number" ma:internalName="LegacyCaseReferenceNumber">
      <xsd:simpleType>
        <xsd:restriction base="dms:Note">
          <xsd:maxLength value="255"/>
        </xsd:restriction>
      </xsd:simpleType>
    </xsd:element>
    <xsd:element name="MediaServiceEventHashCode" ma:index="73" nillable="true" ma:displayName="MediaServiceEventHashCode" ma:hidden="true" ma:internalName="MediaServiceEventHashCode" ma:readOnly="true">
      <xsd:simpleType>
        <xsd:restriction base="dms:Text"/>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DateTaken" ma:index="78" nillable="true" ma:displayName="MediaServiceDateTaken" ma:hidden="true" ma:internalName="MediaServiceDateTaken" ma:readOnly="true">
      <xsd:simpleType>
        <xsd:restriction base="dms:Text"/>
      </xsd:simpleType>
    </xsd:element>
    <xsd:element name="Folder" ma:index="79" nillable="true" ma:displayName="Folder" ma:list="{236339c9-72aa-4b4d-b629-41cb8f8725a3}" ma:internalName="Folder" ma:showField="LegacyFolder">
      <xsd:simpleType>
        <xsd:restriction base="dms:Lookup"/>
      </xsd:simpleType>
    </xsd:element>
    <xsd:element name="MediaServiceAutoKeyPoints" ma:index="80" nillable="true" ma:displayName="MediaServiceAutoKeyPoints" ma:hidden="true" ma:internalName="MediaServiceAutoKeyPoints" ma:readOnly="true">
      <xsd:simpleType>
        <xsd:restriction base="dms:Note"/>
      </xsd:simpleType>
    </xsd:element>
    <xsd:element name="MediaServiceKeyPoints" ma:index="81" nillable="true" ma:displayName="KeyPoints" ma:internalName="MediaServiceKeyPoints" ma:readOnly="true">
      <xsd:simpleType>
        <xsd:restriction base="dms:Note">
          <xsd:maxLength value="255"/>
        </xsd:restriction>
      </xsd:simpleType>
    </xsd:element>
    <xsd:element name="MediaLengthInSeconds" ma:index="8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7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2021-11-19T10:56:25+00:00</Date_x0020_Opened>
    <LegacyRecordCategoryIdentifier xmlns="b67a7830-db79-4a49-bf27-2aff92a2201a" xsi:nil="true"/>
    <LegacyDateFileRequested xmlns="a172083e-e40c-4314-b43a-827352a1ed2c" xsi:nil="true"/>
    <LegacyFolderType xmlns="b67a7830-db79-4a49-bf27-2aff92a2201a" xsi:nil="true"/>
    <LegacyRecordFolderIdentifier xmlns="b67a7830-db79-4a49-bf27-2aff92a2201a" xsi:nil="true"/>
    <LegacyFolder xmlns="b67a7830-db79-4a49-bf27-2aff92a2201a" xsi:nil="true"/>
    <LegacyMP xmlns="a172083e-e40c-4314-b43a-827352a1ed2c" xsi:nil="true"/>
    <LegacyDocumentID xmlns="a172083e-e40c-4314-b43a-827352a1ed2c" xsi:nil="true"/>
    <LegacyFolderDocumentID xmlns="a172083e-e40c-4314-b43a-827352a1ed2c" xsi:nil="true"/>
    <ExternallyShared xmlns="b67a7830-db79-4a49-bf27-2aff92a2201a" xsi:nil="true"/>
    <Descriptor xmlns="0063f72e-ace3-48fb-9c1f-5b513408b31f" xsi:nil="true"/>
    <LegacyDateFileReceived xmlns="a172083e-e40c-4314-b43a-827352a1ed2c" xsi:nil="true"/>
    <LegacyFolderLink xmlns="b67a7830-db79-4a49-bf27-2aff92a2201a" xsi:nil="true"/>
    <Document_x0020_Notes xmlns="b413c3fd-5a3b-4239-b985-69032e371c04" xsi:nil="true"/>
    <LegacyAdditionalAuthors xmlns="b67a7830-db79-4a49-bf27-2aff92a2201a" xsi:nil="true"/>
    <LegacyDocumentLink xmlns="b67a7830-db79-4a49-bf27-2aff92a2201a" xsi:nil="true"/>
    <LegacyCaseReferenceNumber xmlns="236339c9-72aa-4b4d-b629-41cb8f8725a3" xsi:nil="true"/>
    <CIRRUSPreviousLocation xmlns="b413c3fd-5a3b-4239-b985-69032e371c04" xsi:nil="true"/>
    <LegacyPhysicalItemLocation xmlns="a172083e-e40c-4314-b43a-827352a1ed2c" xsi:nil="true"/>
    <LegacyRequestType xmlns="a172083e-e40c-4314-b43a-827352a1ed2c" xsi:nil="true"/>
    <LegacyDescriptor xmlns="a172083e-e40c-4314-b43a-827352a1ed2c" xsi:nil="true"/>
    <IconOverlay xmlns="http://schemas.microsoft.com/sharepoint/v4" xsi:nil="true"/>
    <LegacyLastModifiedDate xmlns="b67a7830-db79-4a49-bf27-2aff92a2201a" xsi:nil="true"/>
    <LegacyDateClosed xmlns="b67a7830-db79-4a49-bf27-2aff92a2201a" xsi:nil="true"/>
    <LegacyHomeLocation xmlns="b67a7830-db79-4a49-bf27-2aff92a2201a" xsi:nil="true"/>
    <LegacyExpiryReviewDate xmlns="b67a7830-db79-4a49-bf27-2aff92a2201a" xsi:nil="true"/>
    <LegacyPhysicalFormat xmlns="a172083e-e40c-4314-b43a-827352a1ed2c">false</LegacyPhysicalFormat>
    <LegacyDocumentType xmlns="b67a7830-db79-4a49-bf27-2aff92a2201a" xsi:nil="true"/>
    <LegacyReferencesFromOtherItems xmlns="b67a7830-db79-4a49-bf27-2aff92a2201a" xsi:nil="true"/>
    <LegacyLastActionDate xmlns="b67a7830-db79-4a49-bf27-2aff92a2201a" xsi:nil="true"/>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Commercial Directors Office</TermName>
          <TermId xmlns="http://schemas.microsoft.com/office/infopath/2007/PartnerControls">238fa97d-f15c-4150-b026-dc0dcc757911</TermId>
        </TermInfo>
      </Terms>
    </m975189f4ba442ecbf67d4147307b177>
    <Security_x0020_Classification xmlns="0063f72e-ace3-48fb-9c1f-5b513408b31f">OFFICIAL</Security_x0020_Classification>
    <CIRRUSPreviousID xmlns="b413c3fd-5a3b-4239-b985-69032e371c04" xsi:nil="true"/>
    <LegacyModifier xmlns="b67a7830-db79-4a49-bf27-2aff92a2201a">
      <UserInfo>
        <DisplayName/>
        <AccountId xsi:nil="true"/>
        <AccountType/>
      </UserInfo>
    </LegacyModifier>
    <LegacyStatusonTransfer xmlns="b67a7830-db79-4a49-bf27-2aff92a2201a" xsi:nil="true"/>
    <LegacyDispositionAsOfDate xmlns="b67a7830-db79-4a49-bf27-2aff92a2201a" xsi:nil="true"/>
    <LegacyMinister xmlns="a172083e-e40c-4314-b43a-827352a1ed2c" xsi:nil="true"/>
    <CIRRUSPreviousRetentionPolicy xmlns="236339c9-72aa-4b4d-b629-41cb8f8725a3" xsi:nil="true"/>
    <LegacyFileplanTarget xmlns="b67a7830-db79-4a49-bf27-2aff92a2201a" xsi:nil="true"/>
    <LegacyContentType xmlns="b67a7830-db79-4a49-bf27-2aff92a2201a" xsi:nil="true"/>
    <LegacyCustodian xmlns="b67a7830-db79-4a49-bf27-2aff92a2201a" xsi:nil="true"/>
    <National_x0020_Caveat xmlns="0063f72e-ace3-48fb-9c1f-5b513408b31f" xsi:nil="true"/>
    <LegacyProtectiveMarking xmlns="b67a7830-db79-4a49-bf27-2aff92a2201a" xsi:nil="true"/>
    <LegacyDateFileReturned xmlns="a172083e-e40c-4314-b43a-827352a1ed2c" xsi:nil="true"/>
    <LegacyReferencesToOtherItems xmlns="b67a7830-db79-4a49-bf27-2aff92a2201a" xsi:nil="true"/>
    <Retention_x0020_Label xmlns="a8f60570-4bd3-4f2b-950b-a996de8ab151">Group Review</Retention_x0020_Label>
    <LegacyCopyright xmlns="b67a7830-db79-4a49-bf27-2aff92a2201a" xsi:nil="true"/>
    <Handling_x0020_Instructions xmlns="b413c3fd-5a3b-4239-b985-69032e371c04" xsi:nil="true"/>
    <Date_x0020_Closed xmlns="b413c3fd-5a3b-4239-b985-69032e371c04" xsi:nil="true"/>
    <LegacyTags xmlns="b67a7830-db79-4a49-bf27-2aff92a2201a" xsi:nil="true"/>
    <LegacyFolderNotes xmlns="a172083e-e40c-4314-b43a-827352a1ed2c" xsi:nil="true"/>
    <TaxCatchAll xmlns="0063f72e-ace3-48fb-9c1f-5b513408b31f">
      <Value>222</Value>
    </TaxCatchAll>
    <LegacyNumericClass xmlns="b67a7830-db79-4a49-bf27-2aff92a2201a" xsi:nil="true"/>
    <LegacyCurrentLocation xmlns="b67a7830-db79-4a49-bf27-2aff92a2201a" xsi:nil="true"/>
    <Folder xmlns="236339c9-72aa-4b4d-b629-41cb8f8725a3" xsi:nil="true"/>
    <_dlc_DocId xmlns="0063f72e-ace3-48fb-9c1f-5b513408b31f">2QFN7KK647Q6-1508220509-65712</_dlc_DocId>
    <_dlc_DocIdUrl xmlns="0063f72e-ace3-48fb-9c1f-5b513408b31f">
      <Url>https://beisgov.sharepoint.com/sites/beis/205/_layouts/15/DocIdRedir.aspx?ID=2QFN7KK647Q6-1508220509-65712</Url>
      <Description>2QFN7KK647Q6-1508220509-65712</Description>
    </_dlc_DocIdUrl>
  </documentManagement>
</p:properties>
</file>

<file path=customXml/itemProps1.xml><?xml version="1.0" encoding="utf-8"?>
<ds:datastoreItem xmlns:ds="http://schemas.openxmlformats.org/officeDocument/2006/customXml" ds:itemID="{911DA225-3F12-432E-9690-17632EC57190}"/>
</file>

<file path=customXml/itemProps2.xml><?xml version="1.0" encoding="utf-8"?>
<ds:datastoreItem xmlns:ds="http://schemas.openxmlformats.org/officeDocument/2006/customXml" ds:itemID="{0CAE7F62-303E-481A-AF23-63DE2324488D}"/>
</file>

<file path=customXml/itemProps3.xml><?xml version="1.0" encoding="utf-8"?>
<ds:datastoreItem xmlns:ds="http://schemas.openxmlformats.org/officeDocument/2006/customXml" ds:itemID="{160E01F1-D7A0-4B7C-9BFD-B6BBF1919ED4}"/>
</file>

<file path=customXml/itemProps4.xml><?xml version="1.0" encoding="utf-8"?>
<ds:datastoreItem xmlns:ds="http://schemas.openxmlformats.org/officeDocument/2006/customXml" ds:itemID="{0E683B8F-740D-4BD4-9F45-200689D18E51}"/>
</file>

<file path=docProps/app.xml><?xml version="1.0" encoding="utf-8"?>
<Properties xmlns="http://schemas.openxmlformats.org/officeDocument/2006/extended-properties" xmlns:vt="http://schemas.openxmlformats.org/officeDocument/2006/docPropsVTypes">
  <Template>Normal</Template>
  <TotalTime>13</TotalTime>
  <Pages>3</Pages>
  <Words>962</Words>
  <Characters>5488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Bassaragh, Isis (BEIS)</dc:creator>
  <cp:keywords/>
  <dc:description/>
  <cp:lastModifiedBy>Bassaragh, Isis (BEIS)</cp:lastModifiedBy>
  <cp:revision>2</cp:revision>
  <dcterms:created xsi:type="dcterms:W3CDTF">2021-11-19T10:41:00Z</dcterms:created>
  <dcterms:modified xsi:type="dcterms:W3CDTF">2021-11-19T10:55:00Z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2021-11-19T10:41:37Z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f8473565-2b97-40ed-bf99-23686ecc14e4</vt:lpwstr>
  </property>
  <property fmtid="{D5CDD505-2E9C-101B-9397-08002B2CF9AE}" pid="8" name="MSIP_Label_ba62f585-b40f-4ab9-bafe-39150f03d124_ContentBits">
    <vt:lpwstr>0</vt:lpwstr>
  </property>
  <property fmtid="{D5CDD505-2E9C-101B-9397-08002B2CF9AE}" pid="9" name="ContentTypeId">
    <vt:lpwstr>0x01010027B6D0DFEE2B924BB3DA44ADB5FFCB77</vt:lpwstr>
  </property>
  <property fmtid="{D5CDD505-2E9C-101B-9397-08002B2CF9AE}" pid="10" name="_dlc_DocIdItemGuid">
    <vt:lpwstr>9bcc2558-8a5f-4348-86dc-e9aeb74186ed</vt:lpwstr>
  </property>
  <property fmtid="{D5CDD505-2E9C-101B-9397-08002B2CF9AE}" pid="11" name="Business Unit">
    <vt:lpwstr>222;#Commercial Directors Office|238fa97d-f15c-4150-b026-dc0dcc757911</vt:lpwstr>
  </property>
</Properties>
</file>